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1600"/>
        <w:jc w:val="center"/>
      </w:pPr>
      <w:r>
        <w:rPr>
          <w:b/>
          <w:bCs/>
          <w:color w:val="D97706"/>
          <w:spacing w:val="20"/>
          <w:sz w:val="20"/>
          <w:szCs w:val="20"/>
        </w:rPr>
        <w:t xml:space="preserve">OBSERVATOIRE DU PERMIS BELGE</w:t>
      </w:r>
    </w:p>
    <w:p>
      <w:pPr>
        <w:spacing w:after="300"/>
        <w:jc w:val="center"/>
      </w:pPr>
      <w:r>
        <w:rPr>
          <w:b/>
          <w:bCs/>
          <w:color w:val="15203c"/>
          <w:sz w:val="56"/>
          <w:szCs w:val="56"/>
        </w:rPr>
        <w:t xml:space="preserve">L'état du permis belge</w:t>
      </w:r>
    </w:p>
    <w:p>
      <w:pPr>
        <w:spacing w:after="600"/>
        <w:jc w:val="center"/>
      </w:pPr>
      <w:r>
        <w:rPr>
          <w:color w:val="475569"/>
          <w:sz w:val="28"/>
          <w:szCs w:val="28"/>
        </w:rPr>
        <w:t xml:space="preserve">Rapport annuel, édition 2026</w:t>
      </w:r>
    </w:p>
    <w:p>
      <w:pPr>
        <w:spacing w:after="100"/>
        <w:jc w:val="center"/>
      </w:pPr>
      <w:r>
        <w:rPr>
          <w:b/>
          <w:bCs/>
          <w:sz w:val="22"/>
          <w:szCs w:val="22"/>
        </w:rPr>
        <w:t xml:space="preserve">Wenceslas Dasnois, fondateur de Permis Online</w:t>
      </w:r>
    </w:p>
    <w:p>
      <w:pPr>
        <w:spacing w:after="100"/>
        <w:jc w:val="center"/>
      </w:pPr>
      <w:r>
        <w:rPr>
          <w:color w:val="475569"/>
          <w:sz w:val="20"/>
          <w:szCs w:val="20"/>
        </w:rPr>
        <w:t xml:space="preserve">Publié le 7 juillet 2026</w:t>
      </w:r>
    </w:p>
    <w:p>
      <w:pPr>
        <w:spacing w:after="900"/>
        <w:jc w:val="center"/>
      </w:pPr>
      <w:hyperlink w:history="1" r:id="rId_k63ytnhsiwbgkvz8ofmj">
        <w:r>
          <w:rPr>
            <w:rStyle w:val="Hyperlink"/>
          </w:rPr>
          <w:t xml:space="preserve">https://permis.online/taux-reussite-examen-permis-belgique/</w:t>
        </w:r>
      </w:hyperlink>
    </w:p>
    <w:p>
      <w:pPr>
        <w:pBdr>
          <w:bottom w:val="single" w:color="D0D5DD" w:sz="6" w:space="8"/>
        </w:pBdr>
        <w:jc w:val="center"/>
      </w:pPr>
    </w:p>
    <w:p>
      <w:r>
        <w:br w:type="page"/>
      </w:r>
    </w:p>
    <w:p>
      <w:pPr>
        <w:pStyle w:val="Heading1"/>
      </w:pPr>
      <w:r>
        <w:t xml:space="preserve">Vue d’ensemble : le bilan 2025 des trois régions</w:t>
      </w:r>
    </w:p>
    <w:p>
      <w:pPr>
        <w:spacing w:after="160"/>
      </w:pPr>
      <w:r>
        <w:t xml:space="preserve">Chaque région belge publie ses statistiques d'examen du permis B séparément, avec des méthodologies distinctes. Voici la photographie consolidée du dernier bilan disponible pour chacune.</w:t>
      </w:r>
    </w:p>
    <w:p>
      <w:pPr>
        <w:pStyle w:val="Heading2"/>
      </w:pPr>
      <w:r>
        <w:t xml:space="preserve">Wallonie (bilan annuel 2025)</w:t>
      </w:r>
    </w:p>
    <w:p>
      <w:pPr>
        <w:pStyle w:val="ListParagraph"/>
        <w:numPr>
          <w:ilvl w:val="0"/>
          <w:numId w:val="2"/>
        </w:numPr>
        <w:spacing w:after="80"/>
      </w:pPr>
      <w:r>
        <w:t xml:space="preserve">Examen théorique : 152 005 examens, 56 174 réussites, soit 37%</w:t>
      </w:r>
    </w:p>
    <w:p>
      <w:pPr>
        <w:pStyle w:val="ListParagraph"/>
        <w:numPr>
          <w:ilvl w:val="0"/>
          <w:numId w:val="2"/>
        </w:numPr>
        <w:spacing w:after="80"/>
      </w:pPr>
      <w:r>
        <w:t xml:space="preserve">Examen pratique : 87 162 examens, 47 152 réussites, soit 54%</w:t>
      </w:r>
    </w:p>
    <w:p>
      <w:pPr>
        <w:pStyle w:val="ListParagraph"/>
        <w:numPr>
          <w:ilvl w:val="0"/>
          <w:numId w:val="2"/>
        </w:numPr>
        <w:spacing w:after="80"/>
      </w:pPr>
      <w:r>
        <w:t xml:space="preserve">Test de perception des risques : 70 478 tests, 50 388 réussites, soit 71%</w:t>
      </w:r>
    </w:p>
    <w:p>
      <w:pPr>
        <w:spacing w:after="160"/>
      </w:pPr>
      <w:r>
        <w:rPr>
          <w:i/>
          <w:iCs/>
          <w:color w:val="475569"/>
          <w:sz w:val="18"/>
          <w:szCs w:val="18"/>
        </w:rPr>
        <w:t xml:space="preserve">Source : annexe officielle du Parlement wallon du 6 février 2026, confirmée par la réponse ministérielle du 9 avril 2026 à la question écrite n°1085.</w:t>
      </w:r>
    </w:p>
    <w:p>
      <w:pPr>
        <w:pStyle w:val="Heading2"/>
      </w:pPr>
      <w:r>
        <w:t xml:space="preserve">Bruxelles (bilan annuel 2025)</w:t>
      </w:r>
    </w:p>
    <w:p>
      <w:pPr>
        <w:pStyle w:val="ListParagraph"/>
        <w:numPr>
          <w:ilvl w:val="0"/>
          <w:numId w:val="2"/>
        </w:numPr>
        <w:spacing w:after="80"/>
      </w:pPr>
      <w:r>
        <w:t xml:space="preserve">Examen théorique : 53 721 examens, 41% de réussite</w:t>
      </w:r>
    </w:p>
    <w:p>
      <w:pPr>
        <w:pStyle w:val="ListParagraph"/>
        <w:numPr>
          <w:ilvl w:val="0"/>
          <w:numId w:val="2"/>
        </w:numPr>
        <w:spacing w:after="80"/>
      </w:pPr>
      <w:r>
        <w:t xml:space="preserve">Examen pratique : un peu plus de 21 000 examens, 51% de réussite</w:t>
      </w:r>
    </w:p>
    <w:p>
      <w:pPr>
        <w:spacing w:after="160"/>
      </w:pPr>
      <w:r>
        <w:rPr>
          <w:i/>
          <w:iCs/>
          <w:color w:val="475569"/>
          <w:sz w:val="18"/>
          <w:szCs w:val="18"/>
        </w:rPr>
        <w:t xml:space="preserve">Point de vigilance documenté par l'Observatoire : ces chiffres théoriques 2025 sont identiques, au chiffre près, aux chiffres 2024 publiés au Parlement bruxellois. Explication en attente.</w:t>
      </w:r>
    </w:p>
    <w:p>
      <w:pPr>
        <w:pStyle w:val="Heading2"/>
      </w:pPr>
      <w:r>
        <w:t xml:space="preserve">Flandre (dernier bilan détaillé : 2024)</w:t>
      </w:r>
    </w:p>
    <w:p>
      <w:pPr>
        <w:pStyle w:val="ListParagraph"/>
        <w:numPr>
          <w:ilvl w:val="0"/>
          <w:numId w:val="2"/>
        </w:numPr>
        <w:spacing w:after="80"/>
      </w:pPr>
      <w:r>
        <w:t xml:space="preserve">Examen théorique : 53% de réussite en première tentative</w:t>
      </w:r>
    </w:p>
    <w:p>
      <w:pPr>
        <w:pStyle w:val="ListParagraph"/>
        <w:numPr>
          <w:ilvl w:val="0"/>
          <w:numId w:val="2"/>
        </w:numPr>
        <w:spacing w:after="80"/>
      </w:pPr>
      <w:r>
        <w:t xml:space="preserve">Examen pratique : 45,1% de réussite en première tentative ; 58,9% toutes tentatives confondues, sur 117 885 examens</w:t>
      </w:r>
    </w:p>
    <w:p>
      <w:pPr>
        <w:spacing w:after="160"/>
      </w:pPr>
      <w:r>
        <w:rPr>
          <w:i/>
          <w:iCs/>
          <w:color w:val="475569"/>
          <w:sz w:val="18"/>
          <w:szCs w:val="18"/>
        </w:rPr>
        <w:t xml:space="preserve">Sources : GOCA Vlaanderen (théorique) et Parlement flamand, question écrite n°337, réponse de la ministre de la Mobilité (pratique).</w:t>
      </w:r>
    </w:p>
    <w:p>
      <w:pPr>
        <w:pStyle w:val="Heading1"/>
      </w:pPr>
      <w:r>
        <w:t xml:space="preserve">Les trois enquêtes de 2026</w:t>
      </w:r>
    </w:p>
    <w:p>
      <w:pPr>
        <w:spacing w:after="160"/>
      </w:pPr>
      <w:r>
        <w:t xml:space="preserve">L'Observatoire a publié trois enquêtes data cette année, toutes vérifiées contre des documents officiels primaires.</w:t>
      </w:r>
    </w:p>
    <w:p>
      <w:pPr>
        <w:pStyle w:val="Heading2"/>
      </w:pPr>
      <w:r>
        <w:t xml:space="preserve">1. Les chiffres wallons 2025 étaient inversés</w:t>
      </w:r>
    </w:p>
    <w:p>
      <w:pPr>
        <w:spacing w:after="160"/>
      </w:pPr>
      <w:r>
        <w:t xml:space="preserve">La dépêche d'agence du 20 janvier 2026 sur le bilan wallon 2025 avait permuté les intitulés théorique et pratique (54% annoncé au théorique, alors que ce taux tourne autour de 34-37% depuis des années). La lecture corrigée (37% théorique, 54% pratique) est confirmée par les documents officiels cités ci-dessus.</w:t>
      </w:r>
    </w:p>
    <w:p>
      <w:pPr>
        <w:spacing w:after="160"/>
      </w:pPr>
      <w:r>
        <w:t xml:space="preserve"/>
      </w:r>
    </w:p>
    <w:p>
      <w:pPr>
        <w:spacing w:after="200"/>
      </w:pPr>
      <w:hyperlink w:history="1" r:id="rIdz4y3dkovy2u9euvyei_tj">
        <w:r>
          <w:rPr>
            <w:rStyle w:val="Hyperlink"/>
          </w:rPr>
          <w:t xml:space="preserve">Lire l’enquête complète</w:t>
        </w:r>
      </w:hyperlink>
    </w:p>
    <w:p>
      <w:pPr>
        <w:pStyle w:val="Heading2"/>
      </w:pPr>
      <w:r>
        <w:t xml:space="preserve">2. Bruxelles : les chiffres « 2025 » identiques à 2024</w:t>
      </w:r>
    </w:p>
    <w:p>
      <w:pPr>
        <w:spacing w:after="160"/>
      </w:pPr>
      <w:r>
        <w:t xml:space="preserve">Les chiffres théoriques bruxellois annoncés pour 2025 (53 721 examens, 41%) sont identiques, au chiffre près, aux chiffres 2024 publiés au Parlement bruxellois. L'Observatoire documente la coïncidence sans l'accuser, dans l'attente d'une explication officielle.</w:t>
      </w:r>
    </w:p>
    <w:p>
      <w:pPr>
        <w:spacing w:after="200"/>
      </w:pPr>
      <w:hyperlink w:history="1" r:id="rIdmzwiuahrsoaszqkl3szvg">
        <w:r>
          <w:rPr>
            <w:rStyle w:val="Hyperlink"/>
          </w:rPr>
          <w:t xml:space="preserve">Lire l’enquête complète</w:t>
        </w:r>
      </w:hyperlink>
    </w:p>
    <w:p>
      <w:pPr>
        <w:pStyle w:val="Heading2"/>
      </w:pPr>
      <w:r>
        <w:t xml:space="preserve">3. Filière libre ou auto-école ? Un paradoxe belge</w:t>
      </w:r>
    </w:p>
    <w:p>
      <w:pPr>
        <w:spacing w:after="160"/>
      </w:pPr>
      <w:r>
        <w:t xml:space="preserve">En Wallonie, la filière libre réussit mieux l'examen pratique (59% contre 53% en auto-école, données 2022). En Flandre, c'est l'inverse en première tentative (49,3% auto-école contre 44,8% filière libre, cumul 2019-septembre 2025). Les métriques ne sont pas directement comparables entre régions, mais le sens du paradoxe est solide dans chaque région.</w:t>
      </w:r>
    </w:p>
    <w:p>
      <w:pPr>
        <w:spacing w:after="200"/>
      </w:pPr>
      <w:hyperlink w:history="1" r:id="rIdpge0upgdfzte3viktthue">
        <w:r>
          <w:rPr>
            <w:rStyle w:val="Hyperlink"/>
          </w:rPr>
          <w:t xml:space="preserve">Lire l’analyse complète</w:t>
        </w:r>
      </w:hyperlink>
    </w:p>
    <w:p>
      <w:r>
        <w:br w:type="page"/>
      </w:r>
    </w:p>
    <w:p>
      <w:pPr>
        <w:pStyle w:val="Heading1"/>
      </w:pPr>
      <w:r>
        <w:t xml:space="preserve">Le classement pratique par centre et par filière (Wallonie, 2023-2025)</w:t>
      </w:r>
    </w:p>
    <w:p>
      <w:pPr>
        <w:spacing w:after="160"/>
      </w:pPr>
      <w:r>
        <w:t xml:space="preserve">L'annexe officielle du Parlement wallon du 6 février 2026 détaille, centre par centre, le taux de réussite à l'examen pratique pour chacune des deux filières (auto-école et libre). À notre connaissance, c'est la première publication de ce tableau complet en dehors du document parlementaire lui-même.</w:t>
      </w:r>
    </w:p>
    <w:tbl>
      <w:tblPr>
        <w:tblW w:type="dxa" w:w="9072"/>
        <w:tblBorders>
          <w:top w:val="single" w:color="auto" w:sz="4"/>
          <w:left w:val="single" w:color="auto" w:sz="4"/>
          <w:bottom w:val="single" w:color="auto" w:sz="4"/>
          <w:right w:val="single" w:color="auto" w:sz="4"/>
          <w:insideH w:val="single" w:color="auto" w:sz="4"/>
          <w:insideV w:val="single" w:color="auto" w:sz="4"/>
        </w:tblBorders>
      </w:tblPr>
      <w:tblGrid>
        <w:gridCol w:w="2400"/>
        <w:gridCol w:w="1112"/>
        <w:gridCol w:w="1112"/>
        <w:gridCol w:w="1112"/>
        <w:gridCol w:w="1112"/>
        <w:gridCol w:w="1112"/>
        <w:gridCol w:w="1112"/>
      </w:tblGrid>
      <w:tr>
        <w:tc>
          <w:tcPr>
            <w:tcW w:type="dxa" w:w="2400"/>
            <w:tcBorders>
              <w:top w:val="single" w:color="CCCCCC" w:sz="2"/>
              <w:left w:val="single" w:color="CCCCCC" w:sz="2"/>
              <w:bottom w:val="single" w:color="CCCCCC" w:sz="2"/>
              <w:right w:val="single" w:color="CCCCCC" w:sz="2"/>
            </w:tcBorders>
            <w:shd w:fill="E2E8F0" w:val="clear"/>
            <w:tcMar>
              <w:top w:type="dxa" w:w="60"/>
              <w:left w:type="dxa" w:w="100"/>
              <w:bottom w:type="dxa" w:w="60"/>
              <w:right w:type="dxa" w:w="100"/>
            </w:tcMar>
          </w:tcPr>
          <w:p>
            <w:pPr>
              <w:jc w:val="left"/>
            </w:pPr>
            <w:r>
              <w:rPr>
                <w:b/>
                <w:bCs/>
                <w:sz w:val="18"/>
                <w:szCs w:val="18"/>
              </w:rPr>
              <w:t xml:space="preserve">Centre</w:t>
            </w:r>
          </w:p>
        </w:tc>
        <w:tc>
          <w:tcPr>
            <w:tcW w:type="dxa" w:w="1160"/>
            <w:tcBorders>
              <w:top w:val="single" w:color="CCCCCC" w:sz="2"/>
              <w:left w:val="single" w:color="CCCCCC" w:sz="2"/>
              <w:bottom w:val="single" w:color="CCCCCC" w:sz="2"/>
              <w:right w:val="single" w:color="CCCCCC" w:sz="2"/>
            </w:tcBorders>
            <w:shd w:fill="E2E8F0" w:val="clear"/>
            <w:tcMar>
              <w:top w:type="dxa" w:w="60"/>
              <w:left w:type="dxa" w:w="100"/>
              <w:bottom w:type="dxa" w:w="60"/>
              <w:right w:type="dxa" w:w="100"/>
            </w:tcMar>
          </w:tcPr>
          <w:p>
            <w:pPr>
              <w:jc w:val="right"/>
            </w:pPr>
            <w:r>
              <w:rPr>
                <w:b/>
                <w:bCs/>
                <w:sz w:val="18"/>
                <w:szCs w:val="18"/>
              </w:rPr>
              <w:t xml:space="preserve">'23 AE</w:t>
            </w:r>
          </w:p>
        </w:tc>
        <w:tc>
          <w:tcPr>
            <w:tcW w:type="dxa" w:w="1160"/>
            <w:tcBorders>
              <w:top w:val="single" w:color="CCCCCC" w:sz="2"/>
              <w:left w:val="single" w:color="CCCCCC" w:sz="2"/>
              <w:bottom w:val="single" w:color="CCCCCC" w:sz="2"/>
              <w:right w:val="single" w:color="CCCCCC" w:sz="2"/>
            </w:tcBorders>
            <w:shd w:fill="E2E8F0" w:val="clear"/>
            <w:tcMar>
              <w:top w:type="dxa" w:w="60"/>
              <w:left w:type="dxa" w:w="100"/>
              <w:bottom w:type="dxa" w:w="60"/>
              <w:right w:type="dxa" w:w="100"/>
            </w:tcMar>
          </w:tcPr>
          <w:p>
            <w:pPr>
              <w:jc w:val="right"/>
            </w:pPr>
            <w:r>
              <w:rPr>
                <w:b/>
                <w:bCs/>
                <w:sz w:val="18"/>
                <w:szCs w:val="18"/>
              </w:rPr>
              <w:t xml:space="preserve">'23 Libre</w:t>
            </w:r>
          </w:p>
        </w:tc>
        <w:tc>
          <w:tcPr>
            <w:tcW w:type="dxa" w:w="1160"/>
            <w:tcBorders>
              <w:top w:val="single" w:color="CCCCCC" w:sz="2"/>
              <w:left w:val="single" w:color="CCCCCC" w:sz="2"/>
              <w:bottom w:val="single" w:color="CCCCCC" w:sz="2"/>
              <w:right w:val="single" w:color="CCCCCC" w:sz="2"/>
            </w:tcBorders>
            <w:shd w:fill="E2E8F0" w:val="clear"/>
            <w:tcMar>
              <w:top w:type="dxa" w:w="60"/>
              <w:left w:type="dxa" w:w="100"/>
              <w:bottom w:type="dxa" w:w="60"/>
              <w:right w:type="dxa" w:w="100"/>
            </w:tcMar>
          </w:tcPr>
          <w:p>
            <w:pPr>
              <w:jc w:val="right"/>
            </w:pPr>
            <w:r>
              <w:rPr>
                <w:b/>
                <w:bCs/>
                <w:sz w:val="18"/>
                <w:szCs w:val="18"/>
              </w:rPr>
              <w:t xml:space="preserve">'24 AE</w:t>
            </w:r>
          </w:p>
        </w:tc>
        <w:tc>
          <w:tcPr>
            <w:tcW w:type="dxa" w:w="1160"/>
            <w:tcBorders>
              <w:top w:val="single" w:color="CCCCCC" w:sz="2"/>
              <w:left w:val="single" w:color="CCCCCC" w:sz="2"/>
              <w:bottom w:val="single" w:color="CCCCCC" w:sz="2"/>
              <w:right w:val="single" w:color="CCCCCC" w:sz="2"/>
            </w:tcBorders>
            <w:shd w:fill="E2E8F0" w:val="clear"/>
            <w:tcMar>
              <w:top w:type="dxa" w:w="60"/>
              <w:left w:type="dxa" w:w="100"/>
              <w:bottom w:type="dxa" w:w="60"/>
              <w:right w:type="dxa" w:w="100"/>
            </w:tcMar>
          </w:tcPr>
          <w:p>
            <w:pPr>
              <w:jc w:val="right"/>
            </w:pPr>
            <w:r>
              <w:rPr>
                <w:b/>
                <w:bCs/>
                <w:sz w:val="18"/>
                <w:szCs w:val="18"/>
              </w:rPr>
              <w:t xml:space="preserve">'24 Libre</w:t>
            </w:r>
          </w:p>
        </w:tc>
        <w:tc>
          <w:tcPr>
            <w:tcW w:type="dxa" w:w="1160"/>
            <w:tcBorders>
              <w:top w:val="single" w:color="CCCCCC" w:sz="2"/>
              <w:left w:val="single" w:color="CCCCCC" w:sz="2"/>
              <w:bottom w:val="single" w:color="CCCCCC" w:sz="2"/>
              <w:right w:val="single" w:color="CCCCCC" w:sz="2"/>
            </w:tcBorders>
            <w:shd w:fill="E2E8F0" w:val="clear"/>
            <w:tcMar>
              <w:top w:type="dxa" w:w="60"/>
              <w:left w:type="dxa" w:w="100"/>
              <w:bottom w:type="dxa" w:w="60"/>
              <w:right w:type="dxa" w:w="100"/>
            </w:tcMar>
          </w:tcPr>
          <w:p>
            <w:pPr>
              <w:jc w:val="right"/>
            </w:pPr>
            <w:r>
              <w:rPr>
                <w:b/>
                <w:bCs/>
                <w:sz w:val="18"/>
                <w:szCs w:val="18"/>
              </w:rPr>
              <w:t xml:space="preserve">'25 AE</w:t>
            </w:r>
          </w:p>
        </w:tc>
        <w:tc>
          <w:tcPr>
            <w:tcW w:type="dxa" w:w="1160"/>
            <w:tcBorders>
              <w:top w:val="single" w:color="CCCCCC" w:sz="2"/>
              <w:left w:val="single" w:color="CCCCCC" w:sz="2"/>
              <w:bottom w:val="single" w:color="CCCCCC" w:sz="2"/>
              <w:right w:val="single" w:color="CCCCCC" w:sz="2"/>
            </w:tcBorders>
            <w:shd w:fill="E2E8F0" w:val="clear"/>
            <w:tcMar>
              <w:top w:type="dxa" w:w="60"/>
              <w:left w:type="dxa" w:w="100"/>
              <w:bottom w:type="dxa" w:w="60"/>
              <w:right w:type="dxa" w:w="100"/>
            </w:tcMar>
          </w:tcPr>
          <w:p>
            <w:pPr>
              <w:jc w:val="right"/>
            </w:pPr>
            <w:r>
              <w:rPr>
                <w:b/>
                <w:bCs/>
                <w:sz w:val="18"/>
                <w:szCs w:val="18"/>
              </w:rPr>
              <w:t xml:space="preserve">'25 Libre</w:t>
            </w:r>
          </w:p>
        </w:tc>
      </w:tr>
      <w:tr>
        <w:tc>
          <w:tcPr>
            <w:tcW w:type="dxa" w:w="240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left"/>
            </w:pPr>
            <w:r>
              <w:rPr>
                <w:b w:val="false"/>
                <w:bCs w:val="false"/>
                <w:sz w:val="18"/>
                <w:szCs w:val="18"/>
              </w:rPr>
              <w:t xml:space="preserve">Arlon</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57,1%</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66,6%</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51,2%</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70,4%</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51,0%</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69,0%</w:t>
            </w:r>
          </w:p>
        </w:tc>
      </w:tr>
      <w:tr>
        <w:tc>
          <w:tcPr>
            <w:tcW w:type="dxa" w:w="240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left"/>
            </w:pPr>
            <w:r>
              <w:rPr>
                <w:b w:val="false"/>
                <w:bCs w:val="false"/>
                <w:sz w:val="18"/>
                <w:szCs w:val="18"/>
              </w:rPr>
              <w:t xml:space="preserve">Lobbes</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57,5%</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70,0%</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61,1%</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73,2%</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58,4%</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67,7%</w:t>
            </w:r>
          </w:p>
        </w:tc>
      </w:tr>
      <w:tr>
        <w:tc>
          <w:tcPr>
            <w:tcW w:type="dxa" w:w="240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left"/>
            </w:pPr>
            <w:r>
              <w:rPr>
                <w:b w:val="false"/>
                <w:bCs w:val="false"/>
                <w:sz w:val="18"/>
                <w:szCs w:val="18"/>
              </w:rPr>
              <w:t xml:space="preserve">Mariembourg</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58,6%</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57,2%</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62,8%</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66,6%</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62,5%</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67,0%</w:t>
            </w:r>
          </w:p>
        </w:tc>
      </w:tr>
      <w:tr>
        <w:tc>
          <w:tcPr>
            <w:tcW w:type="dxa" w:w="240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left"/>
            </w:pPr>
            <w:r>
              <w:rPr>
                <w:b w:val="false"/>
                <w:bCs w:val="false"/>
                <w:sz w:val="18"/>
                <w:szCs w:val="18"/>
              </w:rPr>
              <w:t xml:space="preserve">Braine-le-Comte</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50,8%</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53,4%</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n/d</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n/d</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55,0%</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66,6%</w:t>
            </w:r>
          </w:p>
        </w:tc>
      </w:tr>
      <w:tr>
        <w:tc>
          <w:tcPr>
            <w:tcW w:type="dxa" w:w="240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left"/>
            </w:pPr>
            <w:r>
              <w:rPr>
                <w:b w:val="false"/>
                <w:bCs w:val="false"/>
                <w:sz w:val="18"/>
                <w:szCs w:val="18"/>
              </w:rPr>
              <w:t xml:space="preserve">Eupen</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61,0%</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67,7%</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58,4%</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65,4%</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57,2%</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63,9%</w:t>
            </w:r>
          </w:p>
        </w:tc>
      </w:tr>
      <w:tr>
        <w:tc>
          <w:tcPr>
            <w:tcW w:type="dxa" w:w="240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left"/>
            </w:pPr>
            <w:r>
              <w:rPr>
                <w:b w:val="false"/>
                <w:bCs w:val="false"/>
                <w:sz w:val="18"/>
                <w:szCs w:val="18"/>
              </w:rPr>
              <w:t xml:space="preserve">Bastogne</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57,2%</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67,3%</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51,6%</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65,0%</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47,2%</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62,0%</w:t>
            </w:r>
          </w:p>
        </w:tc>
      </w:tr>
      <w:tr>
        <w:tc>
          <w:tcPr>
            <w:tcW w:type="dxa" w:w="240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left"/>
            </w:pPr>
            <w:r>
              <w:rPr>
                <w:b w:val="false"/>
                <w:bCs w:val="false"/>
                <w:sz w:val="18"/>
                <w:szCs w:val="18"/>
              </w:rPr>
              <w:t xml:space="preserve">Tournai</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52,3%</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52,3%</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54,0%</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60,2%</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55,6%</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59,8%</w:t>
            </w:r>
          </w:p>
        </w:tc>
      </w:tr>
      <w:tr>
        <w:tc>
          <w:tcPr>
            <w:tcW w:type="dxa" w:w="240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left"/>
            </w:pPr>
            <w:r>
              <w:rPr>
                <w:b w:val="false"/>
                <w:bCs w:val="false"/>
                <w:sz w:val="18"/>
                <w:szCs w:val="18"/>
              </w:rPr>
              <w:t xml:space="preserve">Cuesmes (Mons)</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50,1%</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52,8%</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49,7%</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52,0%</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53,8%</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58,5%</w:t>
            </w:r>
          </w:p>
        </w:tc>
      </w:tr>
      <w:tr>
        <w:tc>
          <w:tcPr>
            <w:tcW w:type="dxa" w:w="240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left"/>
            </w:pPr>
            <w:r>
              <w:rPr>
                <w:b w:val="false"/>
                <w:bCs w:val="false"/>
                <w:sz w:val="18"/>
                <w:szCs w:val="18"/>
              </w:rPr>
              <w:t xml:space="preserve">Marche-en-Famenne</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55,2%</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61,5%</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50,3%</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56,3%</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54,9%</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58,4%</w:t>
            </w:r>
          </w:p>
        </w:tc>
      </w:tr>
      <w:tr>
        <w:tc>
          <w:tcPr>
            <w:tcW w:type="dxa" w:w="240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left"/>
            </w:pPr>
            <w:r>
              <w:rPr>
                <w:b w:val="false"/>
                <w:bCs w:val="false"/>
                <w:sz w:val="18"/>
                <w:szCs w:val="18"/>
              </w:rPr>
              <w:t xml:space="preserve">Liège (Wandre)</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49,3%</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58,8%</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48,6%</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55,4%</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45,4%</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58,1%</w:t>
            </w:r>
          </w:p>
        </w:tc>
      </w:tr>
      <w:tr>
        <w:tc>
          <w:tcPr>
            <w:tcW w:type="dxa" w:w="240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left"/>
            </w:pPr>
            <w:r>
              <w:rPr>
                <w:b w:val="false"/>
                <w:bCs w:val="false"/>
                <w:sz w:val="18"/>
                <w:szCs w:val="18"/>
              </w:rPr>
              <w:t xml:space="preserve">Couillet (Charleroi)</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43,9%</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51,5%</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43,2%</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49,0%</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45,9%</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57,3%</w:t>
            </w:r>
          </w:p>
        </w:tc>
      </w:tr>
      <w:tr>
        <w:tc>
          <w:tcPr>
            <w:tcW w:type="dxa" w:w="240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left"/>
            </w:pPr>
            <w:r>
              <w:rPr>
                <w:b w:val="false"/>
                <w:bCs w:val="false"/>
                <w:sz w:val="18"/>
                <w:szCs w:val="18"/>
              </w:rPr>
              <w:t xml:space="preserve">Louvain-la-Neuve</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50,6%</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58,1%</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44,1%</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49,1%</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46,3%</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52,4%</w:t>
            </w:r>
          </w:p>
        </w:tc>
      </w:tr>
      <w:tr>
        <w:tc>
          <w:tcPr>
            <w:tcW w:type="dxa" w:w="240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left"/>
            </w:pPr>
            <w:r>
              <w:rPr>
                <w:b w:val="false"/>
                <w:bCs w:val="false"/>
                <w:sz w:val="18"/>
                <w:szCs w:val="18"/>
              </w:rPr>
              <w:t xml:space="preserve">Huy</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49,0%</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53,5%</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49,8%</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57,1%</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46,5%</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51,4%</w:t>
            </w:r>
          </w:p>
        </w:tc>
      </w:tr>
      <w:tr>
        <w:tc>
          <w:tcPr>
            <w:tcW w:type="dxa" w:w="240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left"/>
            </w:pPr>
            <w:r>
              <w:rPr>
                <w:b w:val="false"/>
                <w:bCs w:val="false"/>
                <w:sz w:val="18"/>
                <w:szCs w:val="18"/>
              </w:rPr>
              <w:t xml:space="preserve">Suarlée (Namur)</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47,9%</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51,6%</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41,9%</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51,0%</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35,0%</w:t>
            </w:r>
          </w:p>
        </w:tc>
        <w:tc>
          <w:tcPr>
            <w:tcW w:type="dxa" w:w="1160"/>
            <w:tcBorders>
              <w:top w:val="single" w:color="CCCCCC" w:sz="2"/>
              <w:left w:val="single" w:color="CCCCCC" w:sz="2"/>
              <w:bottom w:val="single" w:color="CCCCCC" w:sz="2"/>
              <w:right w:val="single" w:color="CCCCCC" w:sz="2"/>
            </w:tcBorders>
            <w:tcMar>
              <w:top w:type="dxa" w:w="60"/>
              <w:left w:type="dxa" w:w="100"/>
              <w:bottom w:type="dxa" w:w="60"/>
              <w:right w:type="dxa" w:w="100"/>
            </w:tcMar>
          </w:tcPr>
          <w:p>
            <w:pPr>
              <w:jc w:val="right"/>
            </w:pPr>
            <w:r>
              <w:rPr>
                <w:b w:val="false"/>
                <w:bCs w:val="false"/>
                <w:sz w:val="18"/>
                <w:szCs w:val="18"/>
              </w:rPr>
              <w:t xml:space="preserve">46,4%</w:t>
            </w:r>
          </w:p>
        </w:tc>
      </w:tr>
    </w:tbl>
    <w:p>
      <w:pPr>
        <w:spacing w:after="160"/>
      </w:pPr>
      <w:r>
        <w:rPr>
          <w:i/>
          <w:iCs/>
          <w:color w:val="475569"/>
          <w:sz w:val="18"/>
          <w:szCs w:val="18"/>
        </w:rPr>
        <w:t xml:space="preserve">« n/d » : données absentes du document source (Braine-le-Comte, les deux filières, 2024).</w:t>
      </w:r>
    </w:p>
    <w:p>
      <w:pPr>
        <w:spacing w:after="160"/>
      </w:pPr>
      <w:r>
        <w:rPr>
          <w:sz w:val="20"/>
          <w:szCs w:val="20"/>
        </w:rPr>
        <w:t xml:space="preserve">Pourquoi pas un taux global par centre ? L'annexe publie un pourcentage par filière, mais pas le nombre d'examens présentés dans chacune : impossible de calculer une moyenne globale par centre sans deviner une pondération. Les deux taux sont donc toujours affichés séparément, jamais fusionnés.</w:t>
      </w:r>
    </w:p>
    <w:p>
      <w:pPr>
        <w:pStyle w:val="Heading1"/>
      </w:pPr>
      <w:r>
        <w:t xml:space="preserve">Un quart de siècle de tarifs</w:t>
      </w:r>
    </w:p>
    <w:p>
      <w:pPr>
        <w:spacing w:after="160"/>
      </w:pPr>
      <w:r>
        <w:t xml:space="preserve">Avant la régionalisation, un seul tarif s'appliquait à toute la Belgique : 15€ au théorique et 36€ au pratique depuis la conversion à l'euro (1er janvier 2002), fixés par l'arrêté royal du 23 mars 1998 relatif au permis de conduire (article 63). La Wallonie conservera ces montants tels quels jusqu'en 2023, plus de vingt ans sans indexation.</w:t>
      </w:r>
    </w:p>
    <w:p>
      <w:pPr>
        <w:pStyle w:val="ListParagraph"/>
        <w:numPr>
          <w:ilvl w:val="0"/>
          <w:numId w:val="2"/>
        </w:numPr>
        <w:spacing w:after="80"/>
      </w:pPr>
      <w:r>
        <w:t xml:space="preserve">Flandre, arrêté du 20 janvier 2017 (redevances applicables au 1er juin 2017) : 15€ / 39€, avec indexation automatique annuelle dès le départ</w:t>
      </w:r>
    </w:p>
    <w:p>
      <w:pPr>
        <w:pStyle w:val="ListParagraph"/>
        <w:numPr>
          <w:ilvl w:val="0"/>
          <w:numId w:val="2"/>
        </w:numPr>
        <w:spacing w:after="80"/>
      </w:pPr>
      <w:r>
        <w:t xml:space="preserve">Bruxelles, arrêté du 29 mars 2018 : 15€ / 36€, indexation automatique chaque 1er janvier</w:t>
      </w:r>
    </w:p>
    <w:p>
      <w:pPr>
        <w:pStyle w:val="ListParagraph"/>
        <w:numPr>
          <w:ilvl w:val="0"/>
          <w:numId w:val="2"/>
        </w:numPr>
        <w:spacing w:after="80"/>
      </w:pPr>
      <w:r>
        <w:t xml:space="preserve">Wallonie, 1er mars 2023 : première indexation depuis 2002, 15→16€ au théorique, 36→40€ au pratique</w:t>
      </w:r>
    </w:p>
    <w:p>
      <w:pPr>
        <w:pStyle w:val="ListParagraph"/>
        <w:numPr>
          <w:ilvl w:val="0"/>
          <w:numId w:val="2"/>
        </w:numPr>
        <w:spacing w:after="80"/>
      </w:pPr>
      <w:r>
        <w:t xml:space="preserve">Au 1er janvier 2026 : 17-19€ au théorique et 42-51€ au pratique selon la région (voir le détail complet sur l’Observatoire)</w:t>
      </w:r>
    </w:p>
    <w:p>
      <w:pPr>
        <w:pStyle w:val="Heading1"/>
      </w:pPr>
      <w:r>
        <w:t xml:space="preserve">Méthodologie et limites assumées</w:t>
      </w:r>
    </w:p>
    <w:p>
      <w:pPr>
        <w:spacing w:after="160"/>
      </w:pPr>
      <w:r>
        <w:t xml:space="preserve">Toutes les données présentées proviennent exclusivement de sources officielles (parlements régionaux, SPW Mobilité, Bruxelles Mobilité, GOCA Vlaanderen) ou de médias citant des sources officielles. Chaque affirmation de ce rapport est reprise, avec sa source complète, sur la page de l'Observatoire.</w:t>
      </w:r>
    </w:p>
    <w:p>
      <w:pPr>
        <w:pStyle w:val="ListParagraph"/>
        <w:numPr>
          <w:ilvl w:val="0"/>
          <w:numId w:val="2"/>
        </w:numPr>
        <w:spacing w:after="80"/>
      </w:pPr>
      <w:r>
        <w:t xml:space="preserve">Comparabilité : la Wallonie publie des taux par session et un taux annuel global, Bruxelles un taux annuel global, la Flandre un taux à la première tentative. Les chiffres ne sont pas directement comparables d'une région à l'autre.</w:t>
      </w:r>
    </w:p>
    <w:p>
      <w:pPr>
        <w:pStyle w:val="ListParagraph"/>
        <w:numPr>
          <w:ilvl w:val="0"/>
          <w:numId w:val="2"/>
        </w:numPr>
        <w:spacing w:after="80"/>
      </w:pPr>
      <w:r>
        <w:t xml:space="preserve">Détail par centre : seule la Wallonie publie des données par centre d'examen. Bruxelles et la Flandre ne ventilent pas leurs statistiques par centre.</w:t>
      </w:r>
    </w:p>
    <w:p>
      <w:pPr>
        <w:pStyle w:val="ListParagraph"/>
        <w:numPr>
          <w:ilvl w:val="0"/>
          <w:numId w:val="2"/>
        </w:numPr>
        <w:spacing w:after="80"/>
      </w:pPr>
      <w:r>
        <w:t xml:space="preserve">Données manquantes : les montants tarifaires wallons exacts pour 2024 et la grille tarifaire flamande année par année (2018-2025) n'ont pas été retrouvés dans un texte officiel distinct ; ils ne sont donc pas présentés dans ce rapport plutôt que d'être estimés.</w:t>
      </w:r>
    </w:p>
    <w:p>
      <w:pPr>
        <w:pStyle w:val="Heading1"/>
      </w:pPr>
      <w:r>
        <w:t xml:space="preserve">Licence et comment citer</w:t>
      </w:r>
    </w:p>
    <w:p>
      <w:pPr>
        <w:spacing w:after="160"/>
      </w:pPr>
      <w:r>
        <w:t xml:space="preserve">Toutes les données de ce rapport sont publiées sous licence Creative Commons CC BY 4.0 (creativecommons.org/licenses/by/4.0) : réutilisation libre, y compris commerciale, à condition de mentionner la source.</w:t>
      </w:r>
    </w:p>
    <w:p>
      <w:pPr>
        <w:spacing w:after="160"/>
      </w:pPr>
      <w:r>
        <w:rPr>
          <w:i/>
          <w:iCs/>
        </w:rPr>
        <w:t xml:space="preserve">Pour citer ce rapport : « Observatoire du Permis Belge, Permis Online, L’état du permis belge, rapport annuel 2026, https://permis.online/taux-reussite-examen-permis-belgique/ »</w:t>
      </w:r>
    </w:p>
    <w:p>
      <w:pPr>
        <w:pStyle w:val="Heading1"/>
      </w:pPr>
      <w:r>
        <w:t xml:space="preserve">Contact presse</w:t>
      </w:r>
    </w:p>
    <w:p>
      <w:pPr>
        <w:spacing w:after="160"/>
      </w:pPr>
      <w:r>
        <w:t xml:space="preserve">Wenceslas Dasnois, fondateur de Permis Online</w:t>
      </w:r>
    </w:p>
    <w:p>
      <w:pPr>
        <w:spacing w:after="160"/>
      </w:pPr>
      <w:r>
        <w:t xml:space="preserve">contact@permis.online</w:t>
      </w:r>
    </w:p>
    <w:p>
      <w:hyperlink w:history="1" r:id="rIdwbnzlvlsqxjel0uihdntk">
        <w:r>
          <w:rPr>
            <w:rStyle w:val="Hyperlink"/>
          </w:rPr>
          <w:t xml:space="preserve">linkedin.com/in/wenceslas-dasnois-3ba15819a</w:t>
        </w:r>
      </w:hyperlink>
    </w:p>
    <w:sectPr>
      <w:pgSz w:w="11906" w:h="16838" w:orient="portrait"/>
      <w:pgMar w:top="1417" w:right="1417" w:bottom="1417" w:left="141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20"/>
      <w:outlineLvl w:val="0"/>
    </w:pPr>
    <w:rPr>
      <w:rFonts w:ascii="Arial" w:cs="Arial" w:eastAsia="Arial" w:hAnsi="Arial"/>
      <w:b/>
      <w:bCs/>
      <w:color w:val="15203c"/>
      <w:sz w:val="30"/>
      <w:szCs w:val="30"/>
    </w:rPr>
  </w:style>
  <w:style w:type="paragraph" w:styleId="Heading2">
    <w:name w:val="Heading 2"/>
    <w:basedOn w:val="Normal"/>
    <w:next w:val="Normal"/>
    <w:qFormat/>
    <w:pPr>
      <w:spacing w:after="140" w:before="240"/>
      <w:outlineLvl w:val="1"/>
    </w:pPr>
    <w:rPr>
      <w:rFonts w:ascii="Arial" w:cs="Arial" w:eastAsia="Arial" w:hAnsi="Arial"/>
      <w:b/>
      <w:bCs/>
      <w:color w:val="15203c"/>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_k63ytnhsiwbgkvz8ofmj" Type="http://schemas.openxmlformats.org/officeDocument/2006/relationships/hyperlink" Target="https://permis.online/taux-reussite-examen-permis-belgique/" TargetMode="External"/><Relationship Id="rIdz4y3dkovy2u9euvyei_tj" Type="http://schemas.openxmlformats.org/officeDocument/2006/relationships/hyperlink" Target="https://permis.online/actualite/chiffres-permis-wallonie-2025-inverses/" TargetMode="External"/><Relationship Id="rIdmzwiuahrsoaszqkl3szvg" Type="http://schemas.openxmlformats.org/officeDocument/2006/relationships/hyperlink" Target="https://permis.online/actualite/chiffres-permis-bruxelles-2025-identiques-2024/" TargetMode="External"/><Relationship Id="rIdpge0upgdfzte3viktthue" Type="http://schemas.openxmlformats.org/officeDocument/2006/relationships/hyperlink" Target="https://permis.online/actualite/filiere-libre-ou-auto-ecole-paradoxe-belge/" TargetMode="External"/><Relationship Id="rIdwbnzlvlsqxjel0uihdntk" Type="http://schemas.openxmlformats.org/officeDocument/2006/relationships/hyperlink" Target="https://www.linkedin.com/in/wenceslas-dasnois-3ba15819a/" TargetMode="External"/><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2026-07-07T13:42:20.262Z</dcterms:created>
  <dcterms:modified xsi:type="dcterms:W3CDTF">2026-07-07T13:42:20.262Z</dcterms:modified>
</cp:coreProperties>
</file>

<file path=docProps/custom.xml><?xml version="1.0" encoding="utf-8"?>
<Properties xmlns="http://schemas.openxmlformats.org/officeDocument/2006/custom-properties" xmlns:vt="http://schemas.openxmlformats.org/officeDocument/2006/docPropsVTypes"/>
</file>