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Calibri" w:cs="Calibri" w:eastAsia="Calibri" w:hAnsi="Calibri"/>
          <w:b/>
          <w:bCs/>
          <w:color w:val="8B2D2D"/>
          <w:spacing w:val="50"/>
          <w:sz w:val="18"/>
          <w:szCs w:val="18"/>
        </w:rPr>
        <w:t xml:space="preserve">POUR DIFFUSION IMMÉDIATE</w:t>
      </w:r>
    </w:p>
    <w:p>
      <w:pPr>
        <w:spacing w:after="480" w:before="0"/>
      </w:pPr>
      <w:r>
        <w:rPr>
          <w:rFonts w:ascii="Calibri" w:cs="Calibri" w:eastAsia="Calibri" w:hAnsi="Calibri"/>
          <w:i/>
          <w:iCs/>
          <w:color w:val="7A6F65"/>
          <w:sz w:val="20"/>
          <w:szCs w:val="20"/>
        </w:rPr>
        <w:t xml:space="preserve">Bruxelles, mai 2026</w:t>
      </w:r>
    </w:p>
    <w:p>
      <w:pPr>
        <w:spacing w:after="200" w:before="0" w:line="360"/>
      </w:pPr>
      <w:r>
        <w:rPr>
          <w:rFonts w:ascii="Calibri" w:cs="Calibri" w:eastAsia="Calibri" w:hAnsi="Calibri"/>
          <w:b/>
          <w:bCs/>
          <w:color w:val="1A1715"/>
          <w:sz w:val="44"/>
          <w:szCs w:val="44"/>
        </w:rPr>
        <w:t xml:space="preserve">Permis de conduire en Belgique :</w:t>
      </w:r>
      <w:r>
        <w:rPr>
          <w:rFonts w:ascii="Calibri" w:cs="Calibri" w:eastAsia="Calibri" w:hAnsi="Calibri"/>
          <w:b/>
          <w:bCs/>
          <w:color w:val="8B2D2D"/>
          <w:sz w:val="44"/>
          <w:szCs w:val="44"/>
        </w:rPr>
        <w:br/>
        <w:t xml:space="preserve"> la filière libre réussit mieux que l'auto-école,</w:t>
      </w:r>
      <w:r>
        <w:rPr>
          <w:rFonts w:ascii="Calibri" w:cs="Calibri" w:eastAsia="Calibri" w:hAnsi="Calibri"/>
          <w:b/>
          <w:bCs/>
          <w:color w:val="1A1715"/>
          <w:sz w:val="44"/>
          <w:szCs w:val="44"/>
        </w:rPr>
        <w:br/>
        <w:t xml:space="preserve">selon les chiffres officiels du SPW Mobilité</w:t>
      </w:r>
    </w:p>
    <w:p>
      <w:pPr>
        <w:spacing w:after="360" w:before="100" w:line="360"/>
      </w:pPr>
      <w:r>
        <w:rPr>
          <w:rFonts w:ascii="Calibri" w:cs="Calibri" w:eastAsia="Calibri" w:hAnsi="Calibri"/>
          <w:i/>
          <w:iCs/>
          <w:color w:val="4A433D"/>
          <w:sz w:val="24"/>
          <w:szCs w:val="24"/>
        </w:rPr>
        <w:t xml:space="preserve">À l'examen pratique du permis B en Wallonie, les candidats qui apprennent à conduire avec un guide bénévole obtiennent leur permis dans 59% des cas, contre 53% pour ceux qui passent par une auto-école professionnelle. Un écart de 6 points en faveur de la filière libre, stable depuis plusieurs années, qui contredit l'intuition courante.</w:t>
      </w:r>
    </w:p>
    <w:p>
      <w:pPr>
        <w:pBdr>
          <w:bottom w:val="single" w:color="8B2D2D" w:sz="6" w:space="1"/>
        </w:pBdr>
        <w:spacing w:after="200" w:before="0"/>
      </w:pPr>
      <w:r>
        <w:t xml:space="preserve"/>
      </w:r>
    </w:p>
    <w:p>
      <w:pPr>
        <w:spacing w:after="200" w:before="360" w:line="320"/>
      </w:pPr>
      <w:r>
        <w:rPr>
          <w:rFonts w:ascii="Calibri" w:cs="Calibri" w:eastAsia="Calibri" w:hAnsi="Calibri"/>
          <w:b/>
          <w:bCs/>
          <w:color w:val="8B2D2D"/>
          <w:spacing w:val="40"/>
          <w:sz w:val="18"/>
          <w:szCs w:val="18"/>
        </w:rPr>
        <w:t xml:space="preserve">LA DONNÉE PRINCIPALE, EN TROIS CHIFFRES</w:t>
      </w:r>
    </w:p>
    <w:p>
      <w:pPr>
        <w:spacing w:after="240" w:before="0" w:line="320"/>
        <w:jc w:val="left"/>
      </w:pPr>
      <w:r>
        <w:rPr>
          <w:rFonts w:ascii="Calibri" w:cs="Calibri" w:eastAsia="Calibri" w:hAnsi="Calibri"/>
          <w:b/>
          <w:bCs/>
          <w:i w:val="false"/>
          <w:iCs w:val="false"/>
          <w:color w:val="8B2D2D"/>
          <w:sz w:val="36"/>
          <w:szCs w:val="36"/>
        </w:rPr>
        <w:t xml:space="preserve">59%</w:t>
      </w:r>
      <w:r>
        <w:rPr>
          <w:rFonts w:ascii="Calibri" w:cs="Calibri" w:eastAsia="Calibri" w:hAnsi="Calibri"/>
          <w:b w:val="false"/>
          <w:bCs w:val="false"/>
          <w:i w:val="false"/>
          <w:iCs w:val="false"/>
          <w:color w:val="4A433D"/>
          <w:sz w:val="22"/>
          <w:szCs w:val="22"/>
        </w:rPr>
        <w:t xml:space="preserve">  en filière libre  ·  </w:t>
      </w:r>
      <w:r>
        <w:rPr>
          <w:rFonts w:ascii="Calibri" w:cs="Calibri" w:eastAsia="Calibri" w:hAnsi="Calibri"/>
          <w:b/>
          <w:bCs/>
          <w:i w:val="false"/>
          <w:iCs w:val="false"/>
          <w:color w:val="8B2D2D"/>
          <w:sz w:val="36"/>
          <w:szCs w:val="36"/>
        </w:rPr>
        <w:t xml:space="preserve">53%</w:t>
      </w:r>
      <w:r>
        <w:rPr>
          <w:rFonts w:ascii="Calibri" w:cs="Calibri" w:eastAsia="Calibri" w:hAnsi="Calibri"/>
          <w:b w:val="false"/>
          <w:bCs w:val="false"/>
          <w:i w:val="false"/>
          <w:iCs w:val="false"/>
          <w:color w:val="4A433D"/>
          <w:sz w:val="22"/>
          <w:szCs w:val="22"/>
        </w:rPr>
        <w:t xml:space="preserve">  en auto-école  ·  </w:t>
      </w:r>
      <w:r>
        <w:rPr>
          <w:rFonts w:ascii="Calibri" w:cs="Calibri" w:eastAsia="Calibri" w:hAnsi="Calibri"/>
          <w:b/>
          <w:bCs/>
          <w:i w:val="false"/>
          <w:iCs w:val="false"/>
          <w:color w:val="8B2D2D"/>
          <w:sz w:val="36"/>
          <w:szCs w:val="36"/>
        </w:rPr>
        <w:t xml:space="preserve">55,7%</w:t>
      </w:r>
      <w:r>
        <w:rPr>
          <w:rFonts w:ascii="Calibri" w:cs="Calibri" w:eastAsia="Calibri" w:hAnsi="Calibri"/>
          <w:b w:val="false"/>
          <w:bCs w:val="false"/>
          <w:i w:val="false"/>
          <w:iCs w:val="false"/>
          <w:color w:val="4A433D"/>
          <w:sz w:val="22"/>
          <w:szCs w:val="22"/>
        </w:rPr>
        <w:t xml:space="preserve">  en moyenne globale</w:t>
      </w:r>
    </w:p>
    <w:p>
      <w:pPr>
        <w:spacing w:after="200" w:before="0" w:line="320"/>
        <w:jc w:val="left"/>
      </w:pPr>
      <w:r>
        <w:rPr>
          <w:rFonts w:ascii="Calibri" w:cs="Calibri" w:eastAsia="Calibri" w:hAnsi="Calibri"/>
          <w:b w:val="false"/>
          <w:bCs w:val="false"/>
          <w:i w:val="false"/>
          <w:iCs w:val="false"/>
          <w:color w:val="1A1715"/>
          <w:sz w:val="22"/>
          <w:szCs w:val="22"/>
        </w:rPr>
        <w:t xml:space="preserve">Ce sont les taux de réussite à l'examen pratique du permis B en Wallonie pour l'année 2022, dernière année où cette ventilation par filière est publiquement documentée. Les données ont été communiquées par Sarah Pierre, porte-parole du SPW Mobilité Infrastructures, à Sudinfo et reprises par Moustique le 30 octobre 2023.</w:t>
      </w:r>
    </w:p>
    <w:p>
      <w:pPr>
        <w:spacing w:after="240" w:before="0" w:line="320"/>
        <w:jc w:val="left"/>
      </w:pPr>
      <w:r>
        <w:rPr>
          <w:rFonts w:ascii="Calibri" w:cs="Calibri" w:eastAsia="Calibri" w:hAnsi="Calibri"/>
          <w:b w:val="false"/>
          <w:bCs w:val="false"/>
          <w:i w:val="false"/>
          <w:iCs w:val="false"/>
          <w:color w:val="1A1715"/>
          <w:sz w:val="22"/>
          <w:szCs w:val="22"/>
        </w:rPr>
        <w:t xml:space="preserve">L'écart de 6 à 7 points en faveur de la filière libre est stable depuis plusieurs années selon les sources officielles. Il interroge un dispositif d'apprentissage que la plupart des candidats considèrent pourtant comme garant de qualité : l'auto-école professionnelle.</w:t>
      </w:r>
    </w:p>
    <w:p>
      <w:pPr>
        <w:spacing w:after="200" w:before="360" w:line="320"/>
      </w:pPr>
      <w:r>
        <w:rPr>
          <w:rFonts w:ascii="Calibri" w:cs="Calibri" w:eastAsia="Calibri" w:hAnsi="Calibri"/>
          <w:b/>
          <w:bCs/>
          <w:color w:val="8B2D2D"/>
          <w:spacing w:val="40"/>
          <w:sz w:val="18"/>
          <w:szCs w:val="18"/>
        </w:rPr>
        <w:t xml:space="preserve">LA CAUSE SELON LE SPW</w:t>
      </w:r>
    </w:p>
    <w:p>
      <w:pPr>
        <w:spacing w:after="200" w:before="0" w:line="320"/>
        <w:jc w:val="left"/>
      </w:pPr>
      <w:r>
        <w:rPr>
          <w:rFonts w:ascii="Calibri" w:cs="Calibri" w:eastAsia="Calibri" w:hAnsi="Calibri"/>
          <w:b w:val="false"/>
          <w:bCs w:val="false"/>
          <w:i w:val="false"/>
          <w:iCs w:val="false"/>
          <w:color w:val="1A1715"/>
          <w:sz w:val="22"/>
          <w:szCs w:val="22"/>
        </w:rPr>
        <w:t xml:space="preserve">Sarah Pierre a livré une explication à Sudinfo : la filière dite "30 heures" en auto-école, qui permet d'accéder directement au permis définitif sans stage préalable, donne à certains candidats l'illusion d'être prêts.</w:t>
      </w:r>
    </w:p>
    <w:p>
      <w:pPr>
        <w:spacing w:after="200" w:before="0" w:line="320"/>
        <w:jc w:val="left"/>
      </w:pPr>
      <w:r>
        <w:rPr>
          <w:rFonts w:ascii="Calibri" w:cs="Calibri" w:eastAsia="Calibri" w:hAnsi="Calibri"/>
          <w:b w:val="false"/>
          <w:bCs w:val="false"/>
          <w:i/>
          <w:iCs/>
          <w:color w:val="4A433D"/>
          <w:sz w:val="22"/>
          <w:szCs w:val="22"/>
        </w:rPr>
        <w:t xml:space="preserve">« Les candidats de cette filière, qui récolte beaucoup de demandes, pensent parfois qu'ils vont réussir directement après avoir presté ces 30 heures. Ce n'est pas forcément le cas. Certains ont besoin de parfaire leur apprentissage mais n'en ont pas forcément la possibilité »</w:t>
      </w:r>
      <w:r>
        <w:rPr>
          <w:rFonts w:ascii="Calibri" w:cs="Calibri" w:eastAsia="Calibri" w:hAnsi="Calibri"/>
          <w:b w:val="false"/>
          <w:bCs w:val="false"/>
          <w:i w:val="false"/>
          <w:iCs w:val="false"/>
          <w:color w:val="1A1715"/>
          <w:sz w:val="22"/>
          <w:szCs w:val="22"/>
        </w:rPr>
        <w:t xml:space="preserve">, explique-t-elle.</w:t>
      </w:r>
    </w:p>
    <w:p>
      <w:pPr>
        <w:spacing w:after="240" w:before="0" w:line="320"/>
        <w:jc w:val="left"/>
      </w:pPr>
      <w:r>
        <w:rPr>
          <w:rFonts w:ascii="Calibri" w:cs="Calibri" w:eastAsia="Calibri" w:hAnsi="Calibri"/>
          <w:b w:val="false"/>
          <w:bCs w:val="false"/>
          <w:i w:val="false"/>
          <w:iCs w:val="false"/>
          <w:color w:val="1A1715"/>
          <w:sz w:val="22"/>
          <w:szCs w:val="22"/>
        </w:rPr>
        <w:t xml:space="preserve">L'analyse rejoint un constat technique : les 1 500 kilomètres obligatoires en filière libre représentent typiquement plusieurs mois de conduite réelle, là où la filière 30 heures peut s'étaler sur quelques semaines.</w:t>
      </w:r>
    </w:p>
    <w:p>
      <w:pPr>
        <w:spacing w:after="200" w:before="360" w:line="320"/>
      </w:pPr>
      <w:r>
        <w:rPr>
          <w:rFonts w:ascii="Calibri" w:cs="Calibri" w:eastAsia="Calibri" w:hAnsi="Calibri"/>
          <w:b/>
          <w:bCs/>
          <w:color w:val="8B2D2D"/>
          <w:spacing w:val="40"/>
          <w:sz w:val="18"/>
          <w:szCs w:val="18"/>
        </w:rPr>
        <w:t xml:space="preserve">LE CONTEXTE 2024-2025 SUR LE PERMIS EN BELGIQUE</w:t>
      </w:r>
    </w:p>
    <w:p>
      <w:pPr>
        <w:spacing w:after="240" w:before="0" w:line="320"/>
        <w:jc w:val="left"/>
      </w:pPr>
      <w:r>
        <w:rPr>
          <w:rFonts w:ascii="Calibri" w:cs="Calibri" w:eastAsia="Calibri" w:hAnsi="Calibri"/>
          <w:b/>
          <w:bCs/>
          <w:i w:val="false"/>
          <w:iCs w:val="false"/>
          <w:color w:val="1A1715"/>
          <w:sz w:val="22"/>
          <w:szCs w:val="22"/>
        </w:rPr>
        <w:t xml:space="preserve">L'écart entre centres wallons reste massif. </w:t>
      </w:r>
      <w:r>
        <w:rPr>
          <w:rFonts w:ascii="Calibri" w:cs="Calibri" w:eastAsia="Calibri" w:hAnsi="Calibri"/>
          <w:b w:val="false"/>
          <w:bCs w:val="false"/>
          <w:i w:val="false"/>
          <w:iCs w:val="false"/>
          <w:color w:val="1A1715"/>
          <w:sz w:val="22"/>
          <w:szCs w:val="22"/>
        </w:rPr>
        <w:t xml:space="preserve">Selon les chiffres détaillés par centre transmis au Parlement de Wallonie début 2025 par le ministre François Desquesnes pour l'année 2024, le taux de réussite à l'examen théorique varie de </w:t>
      </w:r>
      <w:r>
        <w:rPr>
          <w:rFonts w:ascii="Calibri" w:cs="Calibri" w:eastAsia="Calibri" w:hAnsi="Calibri"/>
          <w:b/>
          <w:bCs/>
          <w:i w:val="false"/>
          <w:iCs w:val="false"/>
          <w:color w:val="8B2D2D"/>
          <w:sz w:val="22"/>
          <w:szCs w:val="22"/>
        </w:rPr>
        <w:t xml:space="preserve">46,9% à Louvain-la-Neuve</w:t>
      </w:r>
      <w:r>
        <w:rPr>
          <w:rFonts w:ascii="Calibri" w:cs="Calibri" w:eastAsia="Calibri" w:hAnsi="Calibri"/>
          <w:b w:val="false"/>
          <w:bCs w:val="false"/>
          <w:i w:val="false"/>
          <w:iCs w:val="false"/>
          <w:color w:val="1A1715"/>
          <w:sz w:val="22"/>
          <w:szCs w:val="22"/>
        </w:rPr>
        <w:t xml:space="preserve"> à </w:t>
      </w:r>
      <w:r>
        <w:rPr>
          <w:rFonts w:ascii="Calibri" w:cs="Calibri" w:eastAsia="Calibri" w:hAnsi="Calibri"/>
          <w:b/>
          <w:bCs/>
          <w:i w:val="false"/>
          <w:iCs w:val="false"/>
          <w:color w:val="8B2D2D"/>
          <w:sz w:val="22"/>
          <w:szCs w:val="22"/>
        </w:rPr>
        <w:t xml:space="preserve">29,1% à Lobbes</w:t>
      </w:r>
      <w:r>
        <w:rPr>
          <w:rFonts w:ascii="Calibri" w:cs="Calibri" w:eastAsia="Calibri" w:hAnsi="Calibri"/>
          <w:b w:val="false"/>
          <w:bCs w:val="false"/>
          <w:i w:val="false"/>
          <w:iCs w:val="false"/>
          <w:color w:val="1A1715"/>
          <w:sz w:val="22"/>
          <w:szCs w:val="22"/>
        </w:rPr>
        <w:t xml:space="preserve">, soit </w:t>
      </w:r>
      <w:r>
        <w:rPr>
          <w:rFonts w:ascii="Calibri" w:cs="Calibri" w:eastAsia="Calibri" w:hAnsi="Calibri"/>
          <w:b/>
          <w:bCs/>
          <w:i w:val="false"/>
          <w:iCs w:val="false"/>
          <w:color w:val="8B2D2D"/>
          <w:sz w:val="22"/>
          <w:szCs w:val="22"/>
        </w:rPr>
        <w:t xml:space="preserve">17,8 points d'écart</w:t>
      </w:r>
      <w:r>
        <w:rPr>
          <w:rFonts w:ascii="Calibri" w:cs="Calibri" w:eastAsia="Calibri" w:hAnsi="Calibri"/>
          <w:b w:val="false"/>
          <w:bCs w:val="false"/>
          <w:i w:val="false"/>
          <w:iCs w:val="false"/>
          <w:color w:val="1A1715"/>
          <w:sz w:val="22"/>
          <w:szCs w:val="22"/>
        </w:rPr>
        <w:t xml:space="preserve">. Les centres de Couillet, Mariembourg et Braine-le-Comte ont enregistré une baisse significative entre 2023 et 2024.</w:t>
      </w:r>
    </w:p>
    <w:p>
      <w:pPr>
        <w:spacing w:after="200" w:before="0" w:line="320"/>
        <w:jc w:val="left"/>
      </w:pPr>
      <w:r>
        <w:rPr>
          <w:rFonts w:ascii="Calibri" w:cs="Calibri" w:eastAsia="Calibri" w:hAnsi="Calibri"/>
          <w:b/>
          <w:bCs/>
          <w:i w:val="false"/>
          <w:iCs w:val="false"/>
          <w:color w:val="1A1715"/>
          <w:sz w:val="22"/>
          <w:szCs w:val="22"/>
        </w:rPr>
        <w:t xml:space="preserve">Le bilan 2025 vient d'être publié. </w:t>
      </w:r>
      <w:r>
        <w:rPr>
          <w:rFonts w:ascii="Calibri" w:cs="Calibri" w:eastAsia="Calibri" w:hAnsi="Calibri"/>
          <w:b w:val="false"/>
          <w:bCs w:val="false"/>
          <w:i w:val="false"/>
          <w:iCs w:val="false"/>
          <w:color w:val="1A1715"/>
          <w:sz w:val="22"/>
          <w:szCs w:val="22"/>
        </w:rPr>
        <w:t xml:space="preserve">En janvier 2026, le SPW Mobilité Infrastructures (via La Libre Belgique du 20 janvier) et Bruxelles Mobilité (via l'agence Belga, repris par BX1) ont communiqué leurs chiffres annuels 2025.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9BFB0" w:sz="4"/>
              <w:left w:val="single" w:color="C9BFB0" w:sz="4"/>
              <w:bottom w:val="single" w:color="C9BFB0" w:sz="4"/>
              <w:right w:val="single" w:color="C9BFB0" w:sz="4"/>
            </w:tcBorders>
            <w:shd w:fill="1A1715" w:val="clear"/>
            <w:tcMar>
              <w:top w:type="dxa" w:w="100"/>
              <w:left w:type="dxa" w:w="120"/>
              <w:bottom w:type="dxa" w:w="100"/>
              <w:right w:type="dxa" w:w="120"/>
            </w:tcMar>
            <w:vAlign w:val="center"/>
          </w:tcPr>
          <w:p>
            <w:pPr>
              <w:spacing w:after="0" w:before="0" w:line="280"/>
              <w:jc w:val="left"/>
            </w:pPr>
            <w:r>
              <w:rPr>
                <w:rFonts w:ascii="Calibri" w:cs="Calibri" w:eastAsia="Calibri" w:hAnsi="Calibri"/>
                <w:b/>
                <w:bCs/>
                <w:color w:val="F4EFE6"/>
                <w:sz w:val="16"/>
                <w:szCs w:val="16"/>
              </w:rPr>
              <w:t xml:space="preserve">Région / Année</w:t>
            </w:r>
          </w:p>
        </w:tc>
        <w:tc>
          <w:tcPr>
            <w:tcW w:type="dxa" w:w="1872"/>
            <w:tcBorders>
              <w:top w:val="single" w:color="C9BFB0" w:sz="4"/>
              <w:left w:val="single" w:color="C9BFB0" w:sz="4"/>
              <w:bottom w:val="single" w:color="C9BFB0" w:sz="4"/>
              <w:right w:val="single" w:color="C9BFB0" w:sz="4"/>
            </w:tcBorders>
            <w:shd w:fill="1A1715" w:val="clear"/>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F4EFE6"/>
                <w:sz w:val="16"/>
                <w:szCs w:val="16"/>
              </w:rPr>
              <w:t xml:space="preserve">Théorique</w:t>
            </w:r>
          </w:p>
        </w:tc>
        <w:tc>
          <w:tcPr>
            <w:tcW w:type="dxa" w:w="1872"/>
            <w:tcBorders>
              <w:top w:val="single" w:color="C9BFB0" w:sz="4"/>
              <w:left w:val="single" w:color="C9BFB0" w:sz="4"/>
              <w:bottom w:val="single" w:color="C9BFB0" w:sz="4"/>
              <w:right w:val="single" w:color="C9BFB0" w:sz="4"/>
            </w:tcBorders>
            <w:shd w:fill="1A1715" w:val="clear"/>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F4EFE6"/>
                <w:sz w:val="16"/>
                <w:szCs w:val="16"/>
              </w:rPr>
              <w:t xml:space="preserve">Pratique</w:t>
            </w:r>
          </w:p>
        </w:tc>
        <w:tc>
          <w:tcPr>
            <w:tcW w:type="dxa" w:w="1872"/>
            <w:tcBorders>
              <w:top w:val="single" w:color="C9BFB0" w:sz="4"/>
              <w:left w:val="single" w:color="C9BFB0" w:sz="4"/>
              <w:bottom w:val="single" w:color="C9BFB0" w:sz="4"/>
              <w:right w:val="single" w:color="C9BFB0" w:sz="4"/>
            </w:tcBorders>
            <w:shd w:fill="1A1715" w:val="clear"/>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F4EFE6"/>
                <w:sz w:val="16"/>
                <w:szCs w:val="16"/>
              </w:rPr>
              <w:t xml:space="preserve">Volume</w:t>
            </w:r>
          </w:p>
        </w:tc>
        <w:tc>
          <w:tcPr>
            <w:tcW w:type="dxa" w:w="1872"/>
            <w:tcBorders>
              <w:top w:val="single" w:color="C9BFB0" w:sz="4"/>
              <w:left w:val="single" w:color="C9BFB0" w:sz="4"/>
              <w:bottom w:val="single" w:color="C9BFB0" w:sz="4"/>
              <w:right w:val="single" w:color="C9BFB0" w:sz="4"/>
            </w:tcBorders>
            <w:shd w:fill="1A1715" w:val="clear"/>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F4EFE6"/>
                <w:sz w:val="16"/>
                <w:szCs w:val="16"/>
              </w:rPr>
              <w:t xml:space="preserve">Méthode</w:t>
            </w:r>
          </w:p>
        </w:tc>
      </w:tr>
      <w:tr>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left"/>
            </w:pPr>
            <w:r>
              <w:rPr>
                <w:rFonts w:ascii="Calibri" w:cs="Calibri" w:eastAsia="Calibri" w:hAnsi="Calibri"/>
                <w:b/>
                <w:bCs/>
                <w:color w:val="1A1715"/>
                <w:sz w:val="18"/>
                <w:szCs w:val="18"/>
              </w:rPr>
              <w:t xml:space="preserve">Wallonie 2025</w:t>
            </w:r>
          </w:p>
        </w:tc>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8B2D2D"/>
                <w:sz w:val="18"/>
                <w:szCs w:val="18"/>
              </w:rPr>
              <w:t xml:space="preserve">54%</w:t>
            </w:r>
          </w:p>
        </w:tc>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8B2D2D"/>
                <w:sz w:val="18"/>
                <w:szCs w:val="18"/>
              </w:rPr>
              <w:t xml:space="preserve">37%</w:t>
            </w:r>
          </w:p>
        </w:tc>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8"/>
                <w:szCs w:val="18"/>
              </w:rPr>
              <w:t xml:space="preserve">239 167</w:t>
            </w:r>
          </w:p>
        </w:tc>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6"/>
                <w:szCs w:val="16"/>
              </w:rPr>
              <w:t xml:space="preserve">Annuel global</w:t>
            </w:r>
          </w:p>
        </w:tc>
      </w:tr>
      <w:tr>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left"/>
            </w:pPr>
            <w:r>
              <w:rPr>
                <w:rFonts w:ascii="Calibri" w:cs="Calibri" w:eastAsia="Calibri" w:hAnsi="Calibri"/>
                <w:b/>
                <w:bCs/>
                <w:color w:val="1A1715"/>
                <w:sz w:val="18"/>
                <w:szCs w:val="18"/>
              </w:rPr>
              <w:t xml:space="preserve">Wallonie 2024 par centre</w:t>
            </w:r>
          </w:p>
        </w:tc>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8"/>
                <w:szCs w:val="18"/>
              </w:rPr>
              <w:t xml:space="preserve">33% (moy.)</w:t>
            </w:r>
          </w:p>
        </w:tc>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8"/>
                <w:szCs w:val="18"/>
              </w:rPr>
              <w:t xml:space="preserve">N/D</w:t>
            </w:r>
          </w:p>
        </w:tc>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8"/>
                <w:szCs w:val="18"/>
              </w:rPr>
              <w:t xml:space="preserve">14 centres</w:t>
            </w:r>
          </w:p>
        </w:tc>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6"/>
                <w:szCs w:val="16"/>
              </w:rPr>
              <w:t xml:space="preserve">Par session</w:t>
            </w:r>
          </w:p>
        </w:tc>
      </w:tr>
      <w:tr>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left"/>
            </w:pPr>
            <w:r>
              <w:rPr>
                <w:rFonts w:ascii="Calibri" w:cs="Calibri" w:eastAsia="Calibri" w:hAnsi="Calibri"/>
                <w:b/>
                <w:bCs/>
                <w:color w:val="1A1715"/>
                <w:sz w:val="18"/>
                <w:szCs w:val="18"/>
              </w:rPr>
              <w:t xml:space="preserve">Bruxelles 2025</w:t>
            </w:r>
          </w:p>
        </w:tc>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8B2D2D"/>
                <w:sz w:val="18"/>
                <w:szCs w:val="18"/>
              </w:rPr>
              <w:t xml:space="preserve">41%</w:t>
            </w:r>
          </w:p>
        </w:tc>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8B2D2D"/>
                <w:sz w:val="18"/>
                <w:szCs w:val="18"/>
              </w:rPr>
              <w:t xml:space="preserve">51%</w:t>
            </w:r>
          </w:p>
        </w:tc>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8"/>
                <w:szCs w:val="18"/>
              </w:rPr>
              <w:t xml:space="preserve">74 721</w:t>
            </w:r>
          </w:p>
        </w:tc>
        <w:tc>
          <w:tcPr>
            <w:tcW w:type="dxa" w:w="1872"/>
            <w:tcBorders>
              <w:top w:val="single" w:color="C9BFB0" w:sz="4"/>
              <w:left w:val="single" w:color="C9BFB0" w:sz="4"/>
              <w:bottom w:val="single" w:color="C9BFB0" w:sz="4"/>
              <w:right w:val="single" w:color="C9BFB0" w:sz="4"/>
            </w:tcBorders>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6"/>
                <w:szCs w:val="16"/>
              </w:rPr>
              <w:t xml:space="preserve">Annuel global</w:t>
            </w:r>
          </w:p>
        </w:tc>
      </w:tr>
      <w:tr>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left"/>
            </w:pPr>
            <w:r>
              <w:rPr>
                <w:rFonts w:ascii="Calibri" w:cs="Calibri" w:eastAsia="Calibri" w:hAnsi="Calibri"/>
                <w:b/>
                <w:bCs/>
                <w:color w:val="1A1715"/>
                <w:sz w:val="18"/>
                <w:szCs w:val="18"/>
              </w:rPr>
              <w:t xml:space="preserve">Flandre 2024 (1re tent.)</w:t>
            </w:r>
          </w:p>
        </w:tc>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8B2D2D"/>
                <w:sz w:val="18"/>
                <w:szCs w:val="18"/>
              </w:rPr>
              <w:t xml:space="preserve">53%</w:t>
            </w:r>
          </w:p>
        </w:tc>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center"/>
            </w:pPr>
            <w:r>
              <w:rPr>
                <w:rFonts w:ascii="Calibri" w:cs="Calibri" w:eastAsia="Calibri" w:hAnsi="Calibri"/>
                <w:b/>
                <w:bCs/>
                <w:color w:val="8B2D2D"/>
                <w:sz w:val="18"/>
                <w:szCs w:val="18"/>
              </w:rPr>
              <w:t xml:space="preserve">47%</w:t>
            </w:r>
          </w:p>
        </w:tc>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8"/>
                <w:szCs w:val="18"/>
              </w:rPr>
              <w:t xml:space="preserve">N/D</w:t>
            </w:r>
          </w:p>
        </w:tc>
        <w:tc>
          <w:tcPr>
            <w:tcW w:type="dxa" w:w="1872"/>
            <w:tcBorders>
              <w:top w:val="single" w:color="C9BFB0" w:sz="4"/>
              <w:left w:val="single" w:color="C9BFB0" w:sz="4"/>
              <w:bottom w:val="single" w:color="C9BFB0" w:sz="4"/>
              <w:right w:val="single" w:color="C9BFB0" w:sz="4"/>
            </w:tcBorders>
            <w:shd w:fill="FBF8F2" w:val="clear"/>
            <w:tcMar>
              <w:top w:type="dxa" w:w="100"/>
              <w:left w:type="dxa" w:w="120"/>
              <w:bottom w:type="dxa" w:w="100"/>
              <w:right w:type="dxa" w:w="120"/>
            </w:tcMar>
            <w:vAlign w:val="center"/>
          </w:tcPr>
          <w:p>
            <w:pPr>
              <w:spacing w:after="0" w:before="0" w:line="280"/>
              <w:jc w:val="center"/>
            </w:pPr>
            <w:r>
              <w:rPr>
                <w:rFonts w:ascii="Calibri" w:cs="Calibri" w:eastAsia="Calibri" w:hAnsi="Calibri"/>
                <w:b w:val="false"/>
                <w:bCs w:val="false"/>
                <w:color w:val="1A1715"/>
                <w:sz w:val="16"/>
                <w:szCs w:val="16"/>
              </w:rPr>
              <w:t xml:space="preserve">Par tentative</w:t>
            </w:r>
          </w:p>
        </w:tc>
      </w:tr>
    </w:tbl>
    <w:p>
      <w:pPr>
        <w:spacing w:after="120" w:before="0"/>
      </w:pPr>
      <w:r>
        <w:t xml:space="preserve"/>
      </w:r>
    </w:p>
    <w:p>
      <w:pPr>
        <w:spacing w:after="320" w:before="0"/>
      </w:pPr>
      <w:r>
        <w:rPr>
          <w:rFonts w:ascii="Calibri" w:cs="Calibri" w:eastAsia="Calibri" w:hAnsi="Calibri"/>
          <w:i/>
          <w:iCs/>
          <w:color w:val="7A6F65"/>
          <w:sz w:val="18"/>
          <w:szCs w:val="18"/>
        </w:rPr>
        <w:t xml:space="preserve">Important : les méthodologies de calcul varient selon les régions. Les chiffres ne sont donc pas directement comparables.</w:t>
      </w:r>
    </w:p>
    <w:p>
      <w:pPr>
        <w:spacing w:after="200" w:before="360" w:line="320"/>
      </w:pPr>
      <w:r>
        <w:rPr>
          <w:rFonts w:ascii="Calibri" w:cs="Calibri" w:eastAsia="Calibri" w:hAnsi="Calibri"/>
          <w:b/>
          <w:bCs/>
          <w:color w:val="8B2D2D"/>
          <w:spacing w:val="40"/>
          <w:sz w:val="18"/>
          <w:szCs w:val="18"/>
        </w:rPr>
        <w:t xml:space="preserve">TROIS ENSEIGNEMENTS CLÉS</w:t>
      </w:r>
    </w:p>
    <w:p>
      <w:pPr>
        <w:pStyle w:val="ListParagraph"/>
        <w:numPr>
          <w:ilvl w:val="0"/>
          <w:numId w:val="2"/>
        </w:numPr>
        <w:spacing w:after="160" w:before="0" w:line="320"/>
      </w:pPr>
      <w:r>
        <w:rPr>
          <w:rFonts w:ascii="Calibri" w:cs="Calibri" w:eastAsia="Calibri" w:hAnsi="Calibri"/>
          <w:b/>
          <w:bCs/>
          <w:i w:val="false"/>
          <w:iCs w:val="false"/>
          <w:color w:val="1A1715"/>
          <w:sz w:val="22"/>
          <w:szCs w:val="22"/>
        </w:rPr>
        <w:t xml:space="preserve">La filière libre est plus efficace que l'auto-école sur le seul critère du taux de réussite. </w:t>
      </w:r>
      <w:r>
        <w:rPr>
          <w:rFonts w:ascii="Calibri" w:cs="Calibri" w:eastAsia="Calibri" w:hAnsi="Calibri"/>
          <w:b w:val="false"/>
          <w:bCs w:val="false"/>
          <w:i w:val="false"/>
          <w:iCs w:val="false"/>
          <w:color w:val="1A1715"/>
          <w:sz w:val="22"/>
          <w:szCs w:val="22"/>
        </w:rPr>
        <w:t xml:space="preserve">Cette donnée, sourcée et stable, devrait alimenter le débat sur la formation à la conduite. Elle ne remet pas en cause la qualité pédagogique de l'enseignement professionnel, mais soulève la question de la durée d'exposition à la conduite réelle avant l'examen.</w:t>
      </w:r>
    </w:p>
    <w:p>
      <w:pPr>
        <w:pStyle w:val="ListParagraph"/>
        <w:numPr>
          <w:ilvl w:val="0"/>
          <w:numId w:val="2"/>
        </w:numPr>
        <w:spacing w:after="160" w:before="0" w:line="320"/>
      </w:pPr>
      <w:r>
        <w:rPr>
          <w:rFonts w:ascii="Calibri" w:cs="Calibri" w:eastAsia="Calibri" w:hAnsi="Calibri"/>
          <w:b/>
          <w:bCs/>
          <w:i w:val="false"/>
          <w:iCs w:val="false"/>
          <w:color w:val="1A1715"/>
          <w:sz w:val="22"/>
          <w:szCs w:val="22"/>
        </w:rPr>
        <w:t xml:space="preserve">L'écart de 17,8 points entre centres wallons interroge. </w:t>
      </w:r>
      <w:r>
        <w:rPr>
          <w:rFonts w:ascii="Calibri" w:cs="Calibri" w:eastAsia="Calibri" w:hAnsi="Calibri"/>
          <w:b w:val="false"/>
          <w:bCs w:val="false"/>
          <w:i w:val="false"/>
          <w:iCs w:val="false"/>
          <w:color w:val="1A1715"/>
          <w:sz w:val="22"/>
          <w:szCs w:val="22"/>
        </w:rPr>
        <w:t xml:space="preserve">Avec un logiciel d'examen et une base de questions harmonisés par le SPW Mobilité, les écarts inter-centres devraient se réduire. Pourtant, ils persistent et certains centres reculent.</w:t>
      </w:r>
    </w:p>
    <w:p>
      <w:pPr>
        <w:pStyle w:val="ListParagraph"/>
        <w:numPr>
          <w:ilvl w:val="0"/>
          <w:numId w:val="2"/>
        </w:numPr>
        <w:spacing w:after="160" w:before="0" w:line="320"/>
      </w:pPr>
      <w:r>
        <w:rPr>
          <w:rFonts w:ascii="Calibri" w:cs="Calibri" w:eastAsia="Calibri" w:hAnsi="Calibri"/>
          <w:b/>
          <w:bCs/>
          <w:i w:val="false"/>
          <w:iCs w:val="false"/>
          <w:color w:val="1A1715"/>
          <w:sz w:val="22"/>
          <w:szCs w:val="22"/>
        </w:rPr>
        <w:t xml:space="preserve">Les méthodologies divergent entre régions. </w:t>
      </w:r>
      <w:r>
        <w:rPr>
          <w:rFonts w:ascii="Calibri" w:cs="Calibri" w:eastAsia="Calibri" w:hAnsi="Calibri"/>
          <w:b w:val="false"/>
          <w:bCs w:val="false"/>
          <w:i w:val="false"/>
          <w:iCs w:val="false"/>
          <w:color w:val="1A1715"/>
          <w:sz w:val="22"/>
          <w:szCs w:val="22"/>
        </w:rPr>
        <w:t xml:space="preserve">La Wallonie et Bruxelles publient un taux annuel global toutes tentatives confondues. La Flandre publie des taux par tentative. Aucune ventilation standardisée par centre n'existe nationalement, ce qui complique les comparaisons inter-régionales.</w:t>
      </w:r>
    </w:p>
    <w:p>
      <w:pPr>
        <w:spacing w:after="200" w:before="360" w:line="320"/>
      </w:pPr>
      <w:r>
        <w:rPr>
          <w:rFonts w:ascii="Calibri" w:cs="Calibri" w:eastAsia="Calibri" w:hAnsi="Calibri"/>
          <w:b/>
          <w:bCs/>
          <w:color w:val="8B2D2D"/>
          <w:spacing w:val="40"/>
          <w:sz w:val="18"/>
          <w:szCs w:val="18"/>
        </w:rPr>
        <w:t xml:space="preserve">LIMITES DES DONNÉES</w:t>
      </w:r>
    </w:p>
    <w:p>
      <w:pPr>
        <w:spacing w:after="240" w:before="0" w:line="320"/>
        <w:jc w:val="left"/>
      </w:pPr>
      <w:r>
        <w:rPr>
          <w:rFonts w:ascii="Calibri" w:cs="Calibri" w:eastAsia="Calibri" w:hAnsi="Calibri"/>
          <w:b w:val="false"/>
          <w:bCs w:val="false"/>
          <w:i w:val="false"/>
          <w:iCs w:val="false"/>
          <w:color w:val="1A1715"/>
          <w:sz w:val="22"/>
          <w:szCs w:val="22"/>
        </w:rPr>
        <w:t xml:space="preserve">Cette comparaison filière par filière n'est disponible que pour la Wallonie 2022 sur l'examen pratique. Bruxelles publie des taux par tranche d'âge sans distinction de filière, et la Flandre ne publie pas cette ventilation à notre connaissance. Toute généralisation aux trois régions serait abusive.</w:t>
      </w:r>
    </w:p>
    <w:p>
      <w:pPr>
        <w:spacing w:after="200" w:before="360" w:line="320"/>
      </w:pPr>
      <w:r>
        <w:rPr>
          <w:rFonts w:ascii="Calibri" w:cs="Calibri" w:eastAsia="Calibri" w:hAnsi="Calibri"/>
          <w:b/>
          <w:bCs/>
          <w:color w:val="8B2D2D"/>
          <w:spacing w:val="40"/>
          <w:sz w:val="18"/>
          <w:szCs w:val="18"/>
        </w:rPr>
        <w:t xml:space="preserve">SOURCES</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Filière libre vs auto-école Wallonie 2022 : SPW Mobilité Infrastructures via Sarah Pierre (porte-parole), relayé par Sudinfo, repris par Moustique le 30 octobre 2023</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Wallonie 2024 par centre : Parlement de Wallonie, question écrite n°133122 (annexes transmises par le ministre François Desquesnes début 2025)</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Wallonie 2025 : SPW Mobilité Infrastructures, données rapportées par La Libre Belgique le 20 janvier 2026</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Bruxelles 2025 : Bruxelles Mobilité, données diffusées par l'agence Belga le 20 janvier 2026, reprises par BX1</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Bruxelles 2022 : Parlement bruxellois, compte rendu intégral de la séance du 10 janvier 2023</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Flandre 2024 : GOCA Vlaanderen, chiffres obtenus par la députée Sofie Mertens (CD&amp;V) et publiés par VRT NWS le 26 février 2025</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Tarifs 2025 : be.brussels, Autosécurité (barème 2025), Vlaanderen.be</w:t>
      </w:r>
    </w:p>
    <w:p>
      <w:pPr>
        <w:spacing w:after="160" w:before="0"/>
      </w:pPr>
      <w:r>
        <w:t xml:space="preserve"/>
      </w:r>
    </w:p>
    <w:p>
      <w:pPr>
        <w:spacing w:after="200" w:before="360" w:line="320"/>
      </w:pPr>
      <w:r>
        <w:rPr>
          <w:rFonts w:ascii="Calibri" w:cs="Calibri" w:eastAsia="Calibri" w:hAnsi="Calibri"/>
          <w:b/>
          <w:bCs/>
          <w:color w:val="8B2D2D"/>
          <w:spacing w:val="40"/>
          <w:sz w:val="18"/>
          <w:szCs w:val="18"/>
        </w:rPr>
        <w:t xml:space="preserve">DOSSIER DE PRESSE COMPLET</w:t>
      </w:r>
    </w:p>
    <w:p>
      <w:pPr>
        <w:spacing w:after="160" w:before="0" w:line="320"/>
        <w:jc w:val="left"/>
      </w:pPr>
      <w:r>
        <w:rPr>
          <w:rFonts w:ascii="Calibri" w:cs="Calibri" w:eastAsia="Calibri" w:hAnsi="Calibri"/>
          <w:b w:val="false"/>
          <w:bCs w:val="false"/>
          <w:i w:val="false"/>
          <w:iCs w:val="false"/>
          <w:color w:val="1A1715"/>
          <w:sz w:val="22"/>
          <w:szCs w:val="22"/>
        </w:rPr>
        <w:t xml:space="preserve">Disponible en accès libre :</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Données brutes au format CSV (44 lignes, méthodologie indiquée par ligne)</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Graphiques d'évolution 2019 à 2025 (PNG haute résolution)</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Carte interactive des 17 centres d'examen belges (URL embeddable)</w:t>
      </w:r>
    </w:p>
    <w:p>
      <w:pPr>
        <w:pStyle w:val="ListParagraph"/>
        <w:numPr>
          <w:ilvl w:val="0"/>
          <w:numId w:val="3"/>
        </w:numPr>
        <w:spacing w:after="120" w:before="0" w:line="320"/>
      </w:pPr>
      <w:r>
        <w:rPr>
          <w:rFonts w:ascii="Calibri" w:cs="Calibri" w:eastAsia="Calibri" w:hAnsi="Calibri"/>
          <w:b w:val="false"/>
          <w:bCs w:val="false"/>
          <w:color w:val="1A1715"/>
          <w:sz w:val="22"/>
          <w:szCs w:val="22"/>
        </w:rPr>
        <w:t xml:space="preserve">Données structurées Schema.org accessibles via l'URL canonique</w:t>
      </w:r>
    </w:p>
    <w:p>
      <w:pPr>
        <w:spacing w:after="160" w:before="0"/>
      </w:pPr>
      <w:r>
        <w:t xml:space="preserve"/>
      </w:r>
    </w:p>
    <w:p>
      <w:pPr>
        <w:spacing w:after="240" w:before="0" w:line="320"/>
        <w:jc w:val="left"/>
      </w:pPr>
      <w:r>
        <w:rPr>
          <w:rFonts w:ascii="Calibri" w:cs="Calibri" w:eastAsia="Calibri" w:hAnsi="Calibri"/>
          <w:b/>
          <w:bCs/>
          <w:i w:val="false"/>
          <w:iCs w:val="false"/>
          <w:color w:val="1A1715"/>
          <w:sz w:val="22"/>
          <w:szCs w:val="22"/>
        </w:rPr>
        <w:t xml:space="preserve">URL de référence : </w:t>
      </w:r>
      <w:r>
        <w:rPr>
          <w:rFonts w:ascii="Calibri" w:cs="Calibri" w:eastAsia="Calibri" w:hAnsi="Calibri"/>
          <w:b w:val="false"/>
          <w:bCs w:val="false"/>
          <w:i w:val="false"/>
          <w:iCs w:val="false"/>
          <w:color w:val="1A1715"/>
          <w:sz w:val="22"/>
          <w:szCs w:val="22"/>
        </w:rPr>
        <w:t xml:space="preserve">https://permis.online/taux-reussite-examen-permis-belgique/</w:t>
      </w:r>
    </w:p>
    <w:p>
      <w:pPr>
        <w:spacing w:after="200" w:before="360" w:line="320"/>
      </w:pPr>
      <w:r>
        <w:rPr>
          <w:rFonts w:ascii="Calibri" w:cs="Calibri" w:eastAsia="Calibri" w:hAnsi="Calibri"/>
          <w:b/>
          <w:bCs/>
          <w:color w:val="8B2D2D"/>
          <w:spacing w:val="40"/>
          <w:sz w:val="18"/>
          <w:szCs w:val="18"/>
        </w:rPr>
        <w:t xml:space="preserve">À PROPOS DE L'OBSERVATOIRE</w:t>
      </w:r>
    </w:p>
    <w:p>
      <w:pPr>
        <w:spacing w:after="240" w:before="0" w:line="320"/>
        <w:jc w:val="left"/>
      </w:pPr>
      <w:r>
        <w:rPr>
          <w:rFonts w:ascii="Calibri" w:cs="Calibri" w:eastAsia="Calibri" w:hAnsi="Calibri"/>
          <w:b w:val="false"/>
          <w:bCs w:val="false"/>
          <w:i w:val="false"/>
          <w:iCs w:val="false"/>
          <w:color w:val="1A1715"/>
          <w:sz w:val="22"/>
          <w:szCs w:val="22"/>
        </w:rPr>
        <w:t xml:space="preserve">L'Observatoire du Permis Belge est édité par Permis Online, plateforme de préparation au permis de conduire utilisée par plus de 50 000 candidats belges. L'observatoire centralise les données publiques sur les taux de réussite, les délais et les coûts associés au permis dans les trois régions du pays. Toutes les données présentées proviennent exclusivement de sources officielles ou de médias citant des sources officielles.</w:t>
      </w:r>
    </w:p>
    <w:p>
      <w:pPr>
        <w:spacing w:after="200" w:before="360" w:line="320"/>
      </w:pPr>
      <w:r>
        <w:rPr>
          <w:rFonts w:ascii="Calibri" w:cs="Calibri" w:eastAsia="Calibri" w:hAnsi="Calibri"/>
          <w:b/>
          <w:bCs/>
          <w:color w:val="8B2D2D"/>
          <w:spacing w:val="40"/>
          <w:sz w:val="18"/>
          <w:szCs w:val="18"/>
        </w:rPr>
        <w:t xml:space="preserve">CONTACT PRESSE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60"/>
            </w:tcMar>
          </w:tcPr>
          <w:p>
            <w:pPr>
              <w:spacing w:after="80"/>
            </w:pPr>
            <w:r>
              <w:rPr>
                <w:rFonts w:ascii="Calibri" w:cs="Calibri" w:eastAsia="Calibri" w:hAnsi="Calibri"/>
                <w:b/>
                <w:bCs/>
                <w:color w:val="1A1715"/>
                <w:sz w:val="22"/>
                <w:szCs w:val="22"/>
              </w:rPr>
              <w:t xml:space="preserve">Permis Online SRL</w:t>
            </w:r>
          </w:p>
          <w:p>
            <w:pPr>
              <w:spacing w:after="80"/>
            </w:pPr>
            <w:r>
              <w:rPr>
                <w:rFonts w:ascii="Calibri" w:cs="Calibri" w:eastAsia="Calibri" w:hAnsi="Calibri"/>
                <w:color w:val="4A433D"/>
                <w:sz w:val="20"/>
                <w:szCs w:val="20"/>
              </w:rPr>
              <w:t xml:space="preserve">Wen, fondateur</w:t>
            </w:r>
          </w:p>
          <w:p>
            <w:pPr>
              <w:spacing w:after="80"/>
            </w:pPr>
            <w:r>
              <w:rPr>
                <w:rFonts w:ascii="Calibri" w:cs="Calibri" w:eastAsia="Calibri" w:hAnsi="Calibri"/>
                <w:color w:val="8B2D2D"/>
                <w:sz w:val="20"/>
                <w:szCs w:val="20"/>
              </w:rPr>
              <w:t xml:space="preserve">contact@permis.online</w:t>
            </w:r>
          </w:p>
          <w:p>
            <w:pPr>
              <w:spacing w:after="0"/>
            </w:pPr>
            <w:r>
              <w:rPr>
                <w:rFonts w:ascii="Calibri" w:cs="Calibri" w:eastAsia="Calibri" w:hAnsi="Calibri"/>
                <w:color w:val="8B2D2D"/>
                <w:sz w:val="20"/>
                <w:szCs w:val="20"/>
              </w:rPr>
              <w:t xml:space="preserve">https://permis.online</w:t>
            </w:r>
          </w:p>
        </w:tc>
        <w:tc>
          <w:tcPr>
            <w:tcW w:type="dxa" w:w="4680"/>
            <w:tcBorders>
              <w:top w:val="none" w:color="FFFFFF" w:sz="0"/>
              <w:left w:val="single" w:color="C9BFB0" w:sz="4"/>
              <w:bottom w:val="none" w:color="FFFFFF" w:sz="0"/>
              <w:right w:val="none" w:color="FFFFFF" w:sz="0"/>
            </w:tcBorders>
            <w:tcMar>
              <w:top w:type="dxa" w:w="80"/>
              <w:left w:type="dxa" w:w="240"/>
              <w:bottom w:type="dxa" w:w="80"/>
              <w:right w:type="dxa" w:w="0"/>
            </w:tcMar>
          </w:tcPr>
          <w:p>
            <w:pPr>
              <w:spacing w:after="80"/>
            </w:pPr>
            <w:r>
              <w:rPr>
                <w:rFonts w:ascii="Calibri" w:cs="Calibri" w:eastAsia="Calibri" w:hAnsi="Calibri"/>
                <w:b/>
                <w:bCs/>
                <w:color w:val="7A6F65"/>
                <w:spacing w:val="30"/>
                <w:sz w:val="16"/>
                <w:szCs w:val="16"/>
              </w:rPr>
              <w:t xml:space="preserve">LICENCE DE RÉUTILISATION</w:t>
            </w:r>
          </w:p>
          <w:p>
            <w:pPr>
              <w:spacing w:after="80"/>
            </w:pPr>
            <w:r>
              <w:rPr>
                <w:rFonts w:ascii="Calibri" w:cs="Calibri" w:eastAsia="Calibri" w:hAnsi="Calibri"/>
                <w:color w:val="4A433D"/>
                <w:sz w:val="18"/>
                <w:szCs w:val="18"/>
              </w:rPr>
              <w:t xml:space="preserve">Réutilisation libre des données et visuels avec mention de la source :</w:t>
            </w:r>
          </w:p>
          <w:p>
            <w:pPr>
              <w:spacing w:after="0"/>
            </w:pPr>
            <w:r>
              <w:rPr>
                <w:rFonts w:ascii="Calibri" w:cs="Calibri" w:eastAsia="Calibri" w:hAnsi="Calibri"/>
                <w:b/>
                <w:bCs/>
                <w:i/>
                <w:iCs/>
                <w:color w:val="1A1715"/>
                <w:sz w:val="18"/>
                <w:szCs w:val="18"/>
              </w:rPr>
              <w:t xml:space="preserve">"Observatoire du Permis Belge / Permis Online"</w:t>
            </w:r>
          </w:p>
        </w:tc>
      </w:tr>
    </w:tbl>
    <w:p>
      <w:pPr>
        <w:spacing w:after="200" w:before="0"/>
      </w:pPr>
      <w:r>
        <w:t xml:space="preserve"/>
      </w:r>
    </w:p>
    <w:p>
      <w:pPr>
        <w:spacing w:after="0" w:before="320"/>
        <w:jc w:val="center"/>
      </w:pPr>
      <w:r>
        <w:rPr>
          <w:rFonts w:ascii="Calibri" w:cs="Calibri" w:eastAsia="Calibri" w:hAnsi="Calibri"/>
          <w:b/>
          <w:bCs/>
          <w:color w:val="7A6F65"/>
          <w:sz w:val="22"/>
          <w:szCs w:val="22"/>
        </w:rPr>
        <w:t xml:space="preserve">###</w:t>
      </w:r>
    </w:p>
    <w:p>
      <w:pPr>
        <w:spacing w:after="0" w:before="160"/>
        <w:jc w:val="center"/>
      </w:pPr>
      <w:r>
        <w:rPr>
          <w:rFonts w:ascii="Calibri" w:cs="Calibri" w:eastAsia="Calibri" w:hAnsi="Calibri"/>
          <w:i/>
          <w:iCs/>
          <w:color w:val="7A6F65"/>
          <w:sz w:val="16"/>
          <w:szCs w:val="16"/>
        </w:rPr>
        <w:t xml:space="preserve">Données mises à jour en mai 2026, intégrant les bilans régionaux 2025 publiés en janvier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BFB0" w:sz="4" w:space="8"/>
      </w:pBdr>
      <w:tabs>
        <w:tab w:val="right" w:pos="9360"/>
      </w:tabs>
      <w:spacing w:after="0" w:before="0"/>
    </w:pPr>
    <w:r>
      <w:rPr>
        <w:rFonts w:ascii="Calibri" w:cs="Calibri" w:eastAsia="Calibri" w:hAnsi="Calibri"/>
        <w:color w:val="7A6F65"/>
        <w:sz w:val="16"/>
        <w:szCs w:val="16"/>
      </w:rPr>
      <w:t xml:space="preserve">Permis Online SRL · contact@permis.online · permis.online</w:t>
    </w:r>
    <w:r>
      <w:rPr>
        <w:rFonts w:ascii="Calibri" w:cs="Calibri" w:eastAsia="Calibri" w:hAnsi="Calibri"/>
        <w:color w:val="7A6F65"/>
        <w:sz w:val="16"/>
        <w:szCs w:val="16"/>
      </w:rPr>
      <w:t xml:space="preserve">	Page </w:t>
    </w:r>
    <w:r>
      <w:rPr>
        <w:rFonts w:ascii="Calibri" w:cs="Calibri" w:eastAsia="Calibri" w:hAnsi="Calibri"/>
        <w:color w:val="7A6F65"/>
        <w:sz w:val="16"/>
        <w:szCs w:val="16"/>
      </w:rPr>
      <w:fldChar w:fldCharType="begin"/>
      <w:instrText xml:space="preserve">PAGE</w:instrText>
      <w:fldChar w:fldCharType="separate"/>
      <w:fldChar w:fldCharType="end"/>
    </w:r>
    <w:r>
      <w:rPr>
        <w:rFonts w:ascii="Calibri" w:cs="Calibri" w:eastAsia="Calibri" w:hAnsi="Calibri"/>
        <w:color w:val="7A6F65"/>
        <w:sz w:val="16"/>
        <w:szCs w:val="16"/>
      </w:rPr>
      <w:t xml:space="preserve"> / </w:t>
    </w:r>
    <w:r>
      <w:rPr>
        <w:rFonts w:ascii="Calibri" w:cs="Calibri" w:eastAsia="Calibri" w:hAnsi="Calibri"/>
        <w:color w:val="7A6F6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2D2D" w:sz="8" w:space="8"/>
      </w:pBdr>
      <w:tabs>
        <w:tab w:val="right" w:pos="9360"/>
      </w:tabs>
      <w:spacing w:after="0"/>
    </w:pPr>
    <w:r>
      <w:rPr>
        <w:rFonts w:ascii="Calibri" w:cs="Calibri" w:eastAsia="Calibri" w:hAnsi="Calibri"/>
        <w:b/>
        <w:bCs/>
        <w:color w:val="1A1715"/>
        <w:spacing w:val="30"/>
        <w:sz w:val="18"/>
        <w:szCs w:val="18"/>
      </w:rPr>
      <w:t xml:space="preserve">OBSERVATOIRE DU PERMIS BELGE</w:t>
    </w:r>
    <w:r>
      <w:rPr>
        <w:rFonts w:ascii="Calibri" w:cs="Calibri" w:eastAsia="Calibri" w:hAnsi="Calibri"/>
        <w:i/>
        <w:iCs/>
        <w:color w:val="7A6F65"/>
        <w:sz w:val="18"/>
        <w:szCs w:val="18"/>
      </w:rPr>
      <w:t xml:space="preserve">	Communiqué de presse</w:t>
    </w:r>
  </w:p>
  <w:p>
    <w:pPr>
      <w:spacing w:after="20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abstractNum w:abstractNumId="3" w15:restartNumberingAfterBreak="0">
    <w:multiLevelType w:val="hybridMultilevel"/>
    <w:lvl w:ilvl="0" w15:tentative="1">
      <w:start w:val="1"/>
      <w:numFmt w:val="decimal"/>
      <w:lvlText w:val="%1."/>
      <w:lvlJc w:val="left"/>
      <w:pPr>
        <w:ind w:left="480" w:hanging="360"/>
      </w:pPr>
      <w:rPr>
        <w:b/>
        <w:bCs/>
        <w:color w:val="8B2D2D"/>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 Filière libre vs auto-école permis Belgique</dc:title>
  <dc:creator>Observatoire du Permis Belge</dc:creator>
  <dc:description>Communiqué de presse de l'Observatoire du Permis Belge sur la filière libre qui réussit mieux que l'auto-école au permis B en Belgique</dc:description>
  <cp:lastModifiedBy>Un-named</cp:lastModifiedBy>
  <cp:revision>1</cp:revision>
  <dcterms:created xsi:type="dcterms:W3CDTF">2026-05-07T21:03:46.598Z</dcterms:created>
  <dcterms:modified xsi:type="dcterms:W3CDTF">2026-05-07T21:03:46.615Z</dcterms:modified>
</cp:coreProperties>
</file>

<file path=docProps/custom.xml><?xml version="1.0" encoding="utf-8"?>
<Properties xmlns="http://schemas.openxmlformats.org/officeDocument/2006/custom-properties" xmlns:vt="http://schemas.openxmlformats.org/officeDocument/2006/docPropsVTypes"/>
</file>